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Pr="001710F7" w:rsidRDefault="00C14620" w:rsidP="001710F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F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1710F7"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 рынка»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10F7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1710F7">
        <w:rPr>
          <w:rFonts w:ascii="Times New Roman" w:hAnsi="Times New Roman" w:cs="Times New Roman"/>
          <w:sz w:val="28"/>
          <w:szCs w:val="28"/>
        </w:rPr>
        <w:t xml:space="preserve"> 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1710F7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1710F7" w:rsidRPr="001710F7">
        <w:rPr>
          <w:rFonts w:ascii="Times New Roman" w:hAnsi="Times New Roman" w:cs="Times New Roman"/>
          <w:sz w:val="28"/>
          <w:szCs w:val="28"/>
          <w:lang w:val="ru-RU"/>
        </w:rPr>
        <w:t>438</w:t>
      </w:r>
      <w:r w:rsidRPr="001710F7">
        <w:rPr>
          <w:rFonts w:ascii="Times New Roman" w:hAnsi="Times New Roman" w:cs="Times New Roman"/>
          <w:sz w:val="28"/>
          <w:szCs w:val="28"/>
        </w:rPr>
        <w:t xml:space="preserve"> «</w:t>
      </w:r>
      <w:r w:rsidR="001710F7" w:rsidRPr="001710F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Благодарненского</w:t>
      </w:r>
      <w:proofErr w:type="gramEnd"/>
      <w:r w:rsidR="001710F7" w:rsidRPr="001710F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 рынка»</w:t>
      </w:r>
    </w:p>
    <w:p w:rsidR="00AD0C00" w:rsidRPr="001710F7" w:rsidRDefault="00AD0C00" w:rsidP="001710F7">
      <w:pPr>
        <w:spacing w:line="240" w:lineRule="exact"/>
        <w:jc w:val="both"/>
        <w:rPr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AD0C00" w:rsidRDefault="00C14620" w:rsidP="00AD0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27E1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10 марта 2007 года № 148 «Об утверждении Правил выдачи разрешений на право организации розничного рынка»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1462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Pr="00C1462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4363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27E1">
        <w:rPr>
          <w:rFonts w:ascii="Times New Roman" w:hAnsi="Times New Roman" w:cs="Times New Roman"/>
          <w:sz w:val="28"/>
          <w:szCs w:val="28"/>
        </w:rPr>
        <w:t>название</w:t>
      </w:r>
      <w:r w:rsidR="0043638D">
        <w:rPr>
          <w:rFonts w:ascii="Times New Roman" w:hAnsi="Times New Roman" w:cs="Times New Roman"/>
          <w:sz w:val="28"/>
          <w:szCs w:val="28"/>
        </w:rPr>
        <w:t xml:space="preserve"> </w:t>
      </w:r>
      <w:r w:rsidR="005127E1" w:rsidRPr="00C14620">
        <w:rPr>
          <w:rFonts w:ascii="Times New Roman" w:hAnsi="Times New Roman" w:cs="Times New Roman"/>
          <w:sz w:val="28"/>
          <w:szCs w:val="28"/>
        </w:rPr>
        <w:t>административн</w:t>
      </w:r>
      <w:r w:rsidR="005127E1">
        <w:rPr>
          <w:rFonts w:ascii="Times New Roman" w:hAnsi="Times New Roman" w:cs="Times New Roman"/>
          <w:sz w:val="28"/>
          <w:szCs w:val="28"/>
        </w:rPr>
        <w:t>ого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127E1">
        <w:rPr>
          <w:rFonts w:ascii="Times New Roman" w:hAnsi="Times New Roman" w:cs="Times New Roman"/>
          <w:sz w:val="28"/>
          <w:szCs w:val="28"/>
        </w:rPr>
        <w:t>а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Благодарненского городского округа Ставропольского края муниципальной услуги «</w:t>
      </w:r>
      <w:r w:rsidR="001710F7" w:rsidRPr="001710F7">
        <w:rPr>
          <w:rFonts w:ascii="Times New Roman" w:hAnsi="Times New Roman" w:cs="Times New Roman"/>
          <w:sz w:val="28"/>
          <w:szCs w:val="28"/>
        </w:rPr>
        <w:t>Выдача, переоформление, продление срока действия разрешения на право организации розничного рынка</w:t>
      </w:r>
      <w:r w:rsidR="0043638D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1710F7">
        <w:rPr>
          <w:rFonts w:ascii="Times New Roman" w:hAnsi="Times New Roman" w:cs="Times New Roman"/>
          <w:sz w:val="28"/>
          <w:szCs w:val="28"/>
        </w:rPr>
        <w:t>03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1710F7">
        <w:rPr>
          <w:rFonts w:ascii="Times New Roman" w:hAnsi="Times New Roman" w:cs="Times New Roman"/>
          <w:sz w:val="28"/>
          <w:szCs w:val="28"/>
        </w:rPr>
        <w:t>сентября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 w:rsidR="0043638D">
        <w:rPr>
          <w:rFonts w:ascii="Times New Roman" w:hAnsi="Times New Roman" w:cs="Times New Roman"/>
          <w:sz w:val="28"/>
          <w:szCs w:val="28"/>
        </w:rPr>
        <w:t>9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38D">
        <w:rPr>
          <w:rFonts w:ascii="Times New Roman" w:hAnsi="Times New Roman" w:cs="Times New Roman"/>
          <w:sz w:val="28"/>
          <w:szCs w:val="28"/>
        </w:rPr>
        <w:t>1</w:t>
      </w:r>
      <w:r w:rsidR="001710F7">
        <w:rPr>
          <w:rFonts w:ascii="Times New Roman" w:hAnsi="Times New Roman" w:cs="Times New Roman"/>
          <w:sz w:val="28"/>
          <w:szCs w:val="28"/>
        </w:rPr>
        <w:t>438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1710F7" w:rsidRPr="001710F7">
        <w:rPr>
          <w:rFonts w:ascii="Times New Roman" w:hAnsi="Times New Roman" w:cs="Times New Roman"/>
          <w:sz w:val="28"/>
          <w:szCs w:val="28"/>
        </w:rPr>
        <w:t>Выдача, переоформление, продление срока действия разрешения на</w:t>
      </w:r>
      <w:proofErr w:type="gramEnd"/>
      <w:r w:rsidR="001710F7" w:rsidRPr="001710F7">
        <w:rPr>
          <w:rFonts w:ascii="Times New Roman" w:hAnsi="Times New Roman" w:cs="Times New Roman"/>
          <w:sz w:val="28"/>
          <w:szCs w:val="28"/>
        </w:rPr>
        <w:t xml:space="preserve"> право организации розничного рынка</w:t>
      </w:r>
      <w:r w:rsidR="0043638D">
        <w:rPr>
          <w:rFonts w:ascii="Times New Roman" w:hAnsi="Times New Roman" w:cs="Times New Roman"/>
          <w:sz w:val="28"/>
          <w:szCs w:val="28"/>
        </w:rPr>
        <w:t>»</w:t>
      </w:r>
      <w:r w:rsidR="0043638D" w:rsidRPr="0043638D">
        <w:rPr>
          <w:rFonts w:ascii="Times New Roman" w:hAnsi="Times New Roman" w:cs="Times New Roman"/>
          <w:sz w:val="28"/>
          <w:szCs w:val="28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>изменение,  изложив в следующей редакции:</w:t>
      </w:r>
    </w:p>
    <w:p w:rsidR="007E5F2E" w:rsidRDefault="005127E1" w:rsidP="007E5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рынка».</w:t>
      </w:r>
    </w:p>
    <w:p w:rsidR="005127E1" w:rsidRDefault="007B725A" w:rsidP="007E5F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5F2E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7E5F2E" w:rsidRPr="007E5F2E">
        <w:rPr>
          <w:rFonts w:ascii="Times New Roman" w:hAnsi="Times New Roman" w:cs="Times New Roman"/>
          <w:sz w:val="28"/>
          <w:szCs w:val="28"/>
        </w:rPr>
        <w:t xml:space="preserve">II. </w:t>
      </w:r>
      <w:r w:rsidR="007E5F2E">
        <w:rPr>
          <w:rFonts w:ascii="Times New Roman" w:hAnsi="Times New Roman" w:cs="Times New Roman"/>
          <w:sz w:val="28"/>
          <w:szCs w:val="28"/>
        </w:rPr>
        <w:t>«</w:t>
      </w:r>
      <w:r w:rsidR="007E5F2E" w:rsidRPr="007E5F2E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7E5F2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E5F2E">
        <w:rPr>
          <w:rFonts w:ascii="Times New Roman" w:hAnsi="Times New Roman" w:cs="Times New Roman"/>
          <w:sz w:val="28"/>
          <w:szCs w:val="28"/>
        </w:rPr>
        <w:t xml:space="preserve">пункт 2.1.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7B725A" w:rsidRPr="00522E3C" w:rsidRDefault="007B725A" w:rsidP="007B725A">
      <w:pPr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Pr="007B725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</w:r>
      <w:r w:rsidRPr="00522E3C">
        <w:rPr>
          <w:szCs w:val="28"/>
        </w:rPr>
        <w:t>.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A">
        <w:rPr>
          <w:rFonts w:ascii="Times New Roman" w:hAnsi="Times New Roman" w:cs="Times New Roman"/>
          <w:sz w:val="28"/>
          <w:szCs w:val="28"/>
        </w:rPr>
        <w:t xml:space="preserve">2.1.1. Наименование </w:t>
      </w:r>
      <w:proofErr w:type="spellStart"/>
      <w:r w:rsidRPr="007B725A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7B725A">
        <w:rPr>
          <w:rFonts w:ascii="Times New Roman" w:hAnsi="Times New Roman" w:cs="Times New Roman"/>
          <w:sz w:val="28"/>
          <w:szCs w:val="28"/>
        </w:rPr>
        <w:t>: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выдача разрешения на право организации розничного рынка;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25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переоформление разрешения на право организации розничного рынка;</w:t>
      </w:r>
    </w:p>
    <w:p w:rsidR="007B725A" w:rsidRP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25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lastRenderedPageBreak/>
        <w:t>продление срока действия разрешения на право организации розничного рынка</w:t>
      </w:r>
      <w:r w:rsidRPr="007B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25A">
        <w:rPr>
          <w:rFonts w:ascii="Times New Roman" w:hAnsi="Times New Roman" w:cs="Times New Roman"/>
          <w:sz w:val="28"/>
          <w:szCs w:val="28"/>
        </w:rPr>
        <w:t>выдача 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пункт 2.3. добавить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подпуктом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2.3.4.: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«2.3.4. </w:t>
      </w:r>
      <w:r w:rsidRPr="00522E3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proofErr w:type="spellStart"/>
      <w:r w:rsidRPr="00522E3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522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</w:t>
      </w:r>
      <w:proofErr w:type="spellStart"/>
      <w:r w:rsidRPr="007B725A">
        <w:rPr>
          <w:rFonts w:ascii="Times New Roman" w:hAnsi="Times New Roman" w:cs="Times New Roman"/>
          <w:sz w:val="28"/>
          <w:szCs w:val="28"/>
        </w:rPr>
        <w:t>ыдача</w:t>
      </w:r>
      <w:proofErr w:type="spellEnd"/>
      <w:r w:rsidRPr="007B725A">
        <w:rPr>
          <w:rFonts w:ascii="Times New Roman" w:hAnsi="Times New Roman" w:cs="Times New Roman"/>
          <w:sz w:val="28"/>
          <w:szCs w:val="28"/>
        </w:rPr>
        <w:t xml:space="preserve"> 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о выдаче </w:t>
      </w:r>
      <w:r w:rsidRPr="007B725A">
        <w:rPr>
          <w:rFonts w:ascii="Times New Roman" w:hAnsi="Times New Roman" w:cs="Times New Roman"/>
          <w:sz w:val="28"/>
          <w:szCs w:val="28"/>
        </w:rPr>
        <w:t>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B725A" w:rsidRDefault="007B725A" w:rsidP="007B72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пункт 2.4.1. дополнить следующим абзацем:</w:t>
      </w:r>
    </w:p>
    <w:p w:rsidR="00BE0291" w:rsidRDefault="007B725A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«В случае выдачи </w:t>
      </w:r>
      <w:r w:rsidRPr="007B725A">
        <w:rPr>
          <w:rFonts w:ascii="Times New Roman" w:hAnsi="Times New Roman" w:cs="Times New Roman"/>
          <w:sz w:val="28"/>
          <w:szCs w:val="28"/>
        </w:rPr>
        <w:t>дубликата или копии разре</w:t>
      </w:r>
      <w:r>
        <w:rPr>
          <w:rFonts w:ascii="Times New Roman" w:hAnsi="Times New Roman" w:cs="Times New Roman"/>
          <w:sz w:val="28"/>
          <w:szCs w:val="28"/>
        </w:rPr>
        <w:t>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заявлению юридического лица, срок предоставления муниципальной услуги не может превышать 3 дня со дня поступления заявления»</w:t>
      </w:r>
      <w:r w:rsidR="009236F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0291" w:rsidRDefault="009236FB" w:rsidP="00BE02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0291"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="00BE0291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аздел </w:t>
      </w:r>
      <w:r w:rsidRPr="00BE02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0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291" w:rsidRPr="00BE0291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BE029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дополнить пунктом 3.7. </w:t>
      </w:r>
      <w:r w:rsidR="00BE0291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BE0291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BE0291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BE029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58C5" w:rsidRPr="000D58C5" w:rsidRDefault="00BE0291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58C5">
        <w:rPr>
          <w:rFonts w:ascii="Times New Roman" w:hAnsi="Times New Roman" w:cs="Times New Roman"/>
          <w:sz w:val="28"/>
          <w:szCs w:val="28"/>
          <w:lang w:val="ru-RU"/>
        </w:rPr>
        <w:t xml:space="preserve">«3.7. 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административных процедур при предоставлении </w:t>
      </w:r>
      <w:proofErr w:type="spellStart"/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Pr="000D58C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0D58C5">
        <w:rPr>
          <w:rFonts w:ascii="Times New Roman" w:hAnsi="Times New Roman" w:cs="Times New Roman"/>
          <w:sz w:val="28"/>
          <w:szCs w:val="28"/>
        </w:rPr>
        <w:t>ыдача</w:t>
      </w:r>
      <w:proofErr w:type="spellEnd"/>
      <w:r w:rsidRPr="000D58C5">
        <w:rPr>
          <w:rFonts w:ascii="Times New Roman" w:hAnsi="Times New Roman" w:cs="Times New Roman"/>
          <w:sz w:val="28"/>
          <w:szCs w:val="28"/>
        </w:rPr>
        <w:t xml:space="preserve"> дубликата или копии разрешения на право организации розничного рынка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D58C5" w:rsidRPr="000D58C5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>.1.Прием и регистрация заявления.</w:t>
      </w:r>
    </w:p>
    <w:p w:rsidR="000D58C5" w:rsidRPr="000D58C5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предоставления муниципальной услуги является поступление  заявления с необходимыми документами, указанными в </w:t>
      </w:r>
      <w:hyperlink w:anchor="Par239" w:history="1">
        <w:r w:rsidRPr="000D58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0D5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административного регламента, в отдел торговли. 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административной процедуры включает в себя:</w:t>
      </w:r>
    </w:p>
    <w:p w:rsidR="000D58C5" w:rsidRPr="00124CA9" w:rsidRDefault="000D58C5" w:rsidP="000D58C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выдачи дубликата или копии разрешения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право организации розничного рынка на территории Благодарненского городского округа Ставропольского края осуществляется специалистом отдела общего делопроизводства администрации, который регистрирует заявление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указанием даты его поступления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регистрацию заявления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выдачи дубликата или копии разрешения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право организации розничного рынка на территории Благодарненского городского округа Ставропольского края осуществляется в день его подачи в течение 15 минут.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приема заявления на предоставление муниципальной услуги является проставление даты поступления заявления,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(далее – Глава городского округа). Глава городского округа дает поручение заместителю главы администрации Благодарненского городского округа </w:t>
      </w: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Ставропольского края, курирующему работу отдела торговли, рассмотреть поступившее заявление, о чем налагает соответствующую резолюцию.</w:t>
      </w:r>
    </w:p>
    <w:p w:rsidR="000D58C5" w:rsidRPr="00124CA9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CA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торговли, о чем налагает соответствующую резолюцию.</w:t>
      </w:r>
    </w:p>
    <w:p w:rsidR="000D58C5" w:rsidRPr="004E3E3B" w:rsidRDefault="000D58C5" w:rsidP="000D58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Критерием принятия решения является поступление заявления. </w:t>
      </w:r>
    </w:p>
    <w:p w:rsidR="000D58C5" w:rsidRPr="004E3E3B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выполнения административного действия не может превышать один рабочий день. </w:t>
      </w:r>
    </w:p>
    <w:p w:rsidR="000D58C5" w:rsidRPr="004E3E3B" w:rsidRDefault="000D58C5" w:rsidP="000D58C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E3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заявления.</w:t>
      </w:r>
    </w:p>
    <w:p w:rsidR="005127E1" w:rsidRPr="004E3E3B" w:rsidRDefault="000D58C5" w:rsidP="004E3E3B"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E3E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4E3E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проставление на заявлении регистрационного штампа администрации с указанием присвоенного регистрационного номера и даты поступления</w:t>
      </w:r>
      <w:r w:rsidR="004E3E3B">
        <w:rPr>
          <w:rFonts w:ascii="Times New Roman" w:hAnsi="Times New Roman" w:cs="Times New Roman"/>
          <w:color w:val="000000" w:themeColor="text1"/>
          <w:sz w:val="28"/>
          <w:szCs w:val="28"/>
          <w:lang w:val="ru-RU" w:eastAsia="ar-SA"/>
        </w:rPr>
        <w:t>»</w:t>
      </w:r>
      <w:r w:rsidRPr="004E3E3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3638D" w:rsidRPr="00C14620" w:rsidRDefault="0043638D" w:rsidP="004363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886DA0" w:rsidRPr="00C14620" w:rsidRDefault="00886DA0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6DA0" w:rsidRPr="00C14620" w:rsidSect="00E150A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907"/>
    <w:multiLevelType w:val="multilevel"/>
    <w:tmpl w:val="49BAF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78F0A58"/>
    <w:multiLevelType w:val="multilevel"/>
    <w:tmpl w:val="19EA9F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CE537A7"/>
    <w:multiLevelType w:val="multilevel"/>
    <w:tmpl w:val="6D609A84"/>
    <w:lvl w:ilvl="0">
      <w:start w:val="1"/>
      <w:numFmt w:val="decimal"/>
      <w:lvlText w:val="%1."/>
      <w:lvlJc w:val="left"/>
      <w:pPr>
        <w:ind w:left="1755" w:hanging="17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17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3" w:hanging="17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7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1" w:hanging="1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0" w:hanging="17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0D58C5"/>
    <w:rsid w:val="001710F7"/>
    <w:rsid w:val="002D6751"/>
    <w:rsid w:val="0043638D"/>
    <w:rsid w:val="004E3E3B"/>
    <w:rsid w:val="005127E1"/>
    <w:rsid w:val="005F2231"/>
    <w:rsid w:val="00644E29"/>
    <w:rsid w:val="007B725A"/>
    <w:rsid w:val="007E5F2E"/>
    <w:rsid w:val="00834213"/>
    <w:rsid w:val="00886DA0"/>
    <w:rsid w:val="009236FB"/>
    <w:rsid w:val="00AD0C00"/>
    <w:rsid w:val="00BE0291"/>
    <w:rsid w:val="00C1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0D5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8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8C5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ConsPlusNormal">
    <w:name w:val="ConsPlusNormal"/>
    <w:link w:val="ConsPlusNormal0"/>
    <w:rsid w:val="000D58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8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8C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8</cp:revision>
  <cp:lastPrinted>2019-09-28T09:18:00Z</cp:lastPrinted>
  <dcterms:created xsi:type="dcterms:W3CDTF">2019-09-28T08:51:00Z</dcterms:created>
  <dcterms:modified xsi:type="dcterms:W3CDTF">2020-01-23T10:55:00Z</dcterms:modified>
</cp:coreProperties>
</file>