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BC" w:rsidRDefault="00C469BC" w:rsidP="00C469B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469BC" w:rsidRDefault="00C469BC" w:rsidP="00C469BC">
      <w:pPr>
        <w:jc w:val="center"/>
        <w:rPr>
          <w:b/>
          <w:szCs w:val="28"/>
        </w:rPr>
      </w:pPr>
    </w:p>
    <w:p w:rsidR="00C469BC" w:rsidRDefault="00C469BC" w:rsidP="00C469B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469BC" w:rsidTr="00F8666B">
        <w:trPr>
          <w:trHeight w:val="80"/>
        </w:trPr>
        <w:tc>
          <w:tcPr>
            <w:tcW w:w="675" w:type="dxa"/>
          </w:tcPr>
          <w:p w:rsidR="00C469BC" w:rsidRPr="00F97D62" w:rsidRDefault="00C469BC" w:rsidP="00F8666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76" w:type="dxa"/>
          </w:tcPr>
          <w:p w:rsidR="00C469BC" w:rsidRPr="00F97D62" w:rsidRDefault="00C469BC" w:rsidP="00F8666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января</w:t>
            </w:r>
          </w:p>
        </w:tc>
        <w:tc>
          <w:tcPr>
            <w:tcW w:w="1701" w:type="dxa"/>
          </w:tcPr>
          <w:p w:rsidR="00C469BC" w:rsidRPr="00F97D62" w:rsidRDefault="00C469BC" w:rsidP="00F8666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C469BC" w:rsidRPr="00F97D62" w:rsidRDefault="00C469BC" w:rsidP="00F8666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469BC" w:rsidRPr="00F97D62" w:rsidRDefault="00C469BC" w:rsidP="00F8666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469BC" w:rsidRPr="00F97D62" w:rsidRDefault="00C469BC" w:rsidP="00F8666B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</w:tbl>
    <w:p w:rsidR="00C469BC" w:rsidRPr="00B61A5D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Pr="002427C4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Pr="002427C4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C469BC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Pr="002427C4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Pr="002427C4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34 </w:t>
      </w:r>
      <w:r w:rsidRPr="002427C4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,</w:t>
      </w:r>
      <w:r w:rsidRPr="002427C4">
        <w:t xml:space="preserve"> утвержденного постановлением администрации Бла</w:t>
      </w:r>
      <w:r>
        <w:t>годарненского городского округа</w:t>
      </w:r>
      <w:r w:rsidRPr="002427C4">
        <w:t xml:space="preserve"> Ставропольского кр</w:t>
      </w:r>
      <w:r>
        <w:t xml:space="preserve">ая от 30  декабря  2019  года № 2144  </w:t>
      </w:r>
      <w:r w:rsidRPr="002427C4">
        <w:t>«</w:t>
      </w:r>
      <w:r w:rsidRPr="008508DC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 xml:space="preserve">»,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C469BC" w:rsidRPr="002427C4" w:rsidRDefault="00C469BC" w:rsidP="00C469BC">
      <w:pPr>
        <w:tabs>
          <w:tab w:val="left" w:pos="4732"/>
        </w:tabs>
        <w:ind w:firstLine="709"/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Default="00C469BC" w:rsidP="00C469BC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 1990, от 11 декабря 2019 года № 1991).</w:t>
      </w:r>
      <w:proofErr w:type="gramEnd"/>
    </w:p>
    <w:p w:rsidR="00C469BC" w:rsidRPr="002427C4" w:rsidRDefault="00C469BC" w:rsidP="00C469BC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C469BC" w:rsidRPr="002427C4" w:rsidRDefault="00C469BC" w:rsidP="00C469BC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C469BC" w:rsidRPr="002427C4" w:rsidRDefault="00C469BC" w:rsidP="00C469BC">
      <w:pPr>
        <w:ind w:firstLine="709"/>
        <w:jc w:val="both"/>
        <w:rPr>
          <w:rFonts w:eastAsia="Times New Roman"/>
          <w:lang w:eastAsia="ru-RU"/>
        </w:rPr>
      </w:pPr>
    </w:p>
    <w:p w:rsidR="00C469BC" w:rsidRPr="002427C4" w:rsidRDefault="00C469BC" w:rsidP="00C469BC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469BC" w:rsidRPr="002427C4" w:rsidRDefault="00C469BC" w:rsidP="00C469BC">
      <w:pPr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szCs w:val="28"/>
        </w:rPr>
      </w:pPr>
    </w:p>
    <w:p w:rsidR="00C469BC" w:rsidRDefault="00C469BC" w:rsidP="00C469BC">
      <w:pPr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C469BC" w:rsidRPr="002427C4" w:rsidTr="00F8666B">
        <w:trPr>
          <w:trHeight w:val="708"/>
        </w:trPr>
        <w:tc>
          <w:tcPr>
            <w:tcW w:w="7479" w:type="dxa"/>
            <w:hideMark/>
          </w:tcPr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C469BC" w:rsidRPr="002427C4" w:rsidRDefault="00C469BC" w:rsidP="00F8666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469BC" w:rsidRPr="002427C4" w:rsidRDefault="00C469BC" w:rsidP="00F8666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469BC" w:rsidRPr="002427C4" w:rsidRDefault="00C469BC" w:rsidP="00F8666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C469BC" w:rsidRDefault="00C469BC" w:rsidP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36599C" w:rsidTr="0036599C">
        <w:tc>
          <w:tcPr>
            <w:tcW w:w="4219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bCs/>
                <w:szCs w:val="28"/>
              </w:rPr>
              <w:t>Благодарненского городского округа</w:t>
            </w:r>
            <w:r>
              <w:t xml:space="preserve"> Ставропольского края</w:t>
            </w:r>
          </w:p>
          <w:p w:rsidR="0036599C" w:rsidRDefault="00C469B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31 января 2020 года № 99</w:t>
            </w:r>
          </w:p>
        </w:tc>
      </w:tr>
    </w:tbl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599C" w:rsidRDefault="0036599C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36599C" w:rsidRPr="007E6CD5" w:rsidTr="0036599C">
        <w:trPr>
          <w:trHeight w:val="626"/>
        </w:trPr>
        <w:tc>
          <w:tcPr>
            <w:tcW w:w="2092" w:type="dxa"/>
            <w:hideMark/>
          </w:tcPr>
          <w:p w:rsidR="0036599C" w:rsidRPr="007E6CD5" w:rsidRDefault="006C7D30" w:rsidP="00365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6599C"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36599C" w:rsidRPr="007E6CD5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BC14AF">
              <w:rPr>
                <w:lang w:eastAsia="en-US"/>
              </w:rPr>
              <w:t>594 257,11</w:t>
            </w:r>
            <w:r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1566B5" w:rsidRPr="000F74C0">
              <w:t xml:space="preserve">236 724,18 </w:t>
            </w:r>
            <w:r w:rsidRPr="000F74C0">
              <w:rPr>
                <w:lang w:eastAsia="en-US"/>
              </w:rPr>
              <w:t>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2020 год – 177 139,40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2021 год -  180 393,53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F74C0">
              <w:t xml:space="preserve"> </w:t>
            </w:r>
            <w:r w:rsidRPr="000F74C0">
              <w:rPr>
                <w:szCs w:val="28"/>
              </w:rPr>
              <w:t>по источникам финансирования: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за счет средств бюджета Ставропольского края: </w:t>
            </w:r>
            <w:r w:rsidR="00BC14AF" w:rsidRPr="000F74C0">
              <w:rPr>
                <w:szCs w:val="28"/>
              </w:rPr>
              <w:t>38 616,74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szCs w:val="28"/>
              </w:rPr>
              <w:t xml:space="preserve">38 538,98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38,88 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2021 году – 38,88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за счет средств местного бюджета 55</w:t>
            </w:r>
            <w:r w:rsidR="00BC14AF" w:rsidRPr="000F74C0">
              <w:rPr>
                <w:szCs w:val="28"/>
              </w:rPr>
              <w:t>5 640,37</w:t>
            </w:r>
            <w:r w:rsidRPr="000F74C0">
              <w:rPr>
                <w:szCs w:val="28"/>
              </w:rPr>
              <w:t xml:space="preserve">  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rFonts w:eastAsia="Times New Roman"/>
                <w:szCs w:val="28"/>
                <w:lang w:eastAsia="ru-RU"/>
              </w:rPr>
              <w:t xml:space="preserve">198 185,20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177 100,52 тыс. рублей;</w:t>
            </w:r>
          </w:p>
          <w:p w:rsidR="0036599C" w:rsidRPr="000F74C0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2021 году – 180 354,65 тыс. рублей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за счет сре</w:t>
            </w:r>
            <w:proofErr w:type="gramStart"/>
            <w:r w:rsidRPr="000F74C0">
              <w:rPr>
                <w:lang w:eastAsia="en-US"/>
              </w:rPr>
              <w:t>дств др</w:t>
            </w:r>
            <w:proofErr w:type="gramEnd"/>
            <w:r w:rsidRPr="000F74C0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2019 год – 0,0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2020 год -  0,0 тыс. рублей;</w:t>
            </w:r>
          </w:p>
          <w:p w:rsidR="0036599C" w:rsidRPr="007E6CD5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2021 год -  0,0 тыс. рублей</w:t>
            </w:r>
            <w:proofErr w:type="gramStart"/>
            <w:r w:rsidRPr="000F74C0">
              <w:rPr>
                <w:lang w:eastAsia="en-US"/>
              </w:rPr>
              <w:t>.</w:t>
            </w:r>
            <w:r w:rsidR="006C7D30">
              <w:rPr>
                <w:lang w:eastAsia="en-US"/>
              </w:rPr>
              <w:t>»</w:t>
            </w:r>
            <w:proofErr w:type="gramEnd"/>
          </w:p>
        </w:tc>
      </w:tr>
    </w:tbl>
    <w:p w:rsidR="00483C39" w:rsidRDefault="00483C39"/>
    <w:p w:rsidR="0036599C" w:rsidRDefault="0036599C"/>
    <w:p w:rsidR="0036599C" w:rsidRDefault="0036599C"/>
    <w:p w:rsidR="00F95A15" w:rsidRDefault="00F95A15">
      <w:pPr>
        <w:sectPr w:rsidR="00F95A15" w:rsidSect="006C7D30">
          <w:headerReference w:type="first" r:id="rId9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575CCD" w:rsidRPr="004A1316" w:rsidRDefault="00575CCD" w:rsidP="00575C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316">
        <w:rPr>
          <w:szCs w:val="28"/>
        </w:rPr>
        <w:lastRenderedPageBreak/>
        <w:t xml:space="preserve">2. Приложение 1 к муниципальной программе Благодарненского городского округа Ставропольского края </w:t>
      </w:r>
      <w:r w:rsidRPr="004A1316">
        <w:t xml:space="preserve">  </w:t>
      </w:r>
      <w:r w:rsidRPr="004A1316">
        <w:rPr>
          <w:b/>
          <w:bCs/>
        </w:rPr>
        <w:t xml:space="preserve"> 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575CCD" w:rsidRPr="004A1316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75CCD" w:rsidRPr="004A1316" w:rsidTr="00575CCD">
        <w:tc>
          <w:tcPr>
            <w:tcW w:w="6912" w:type="dxa"/>
          </w:tcPr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75CCD" w:rsidRPr="004A1316" w:rsidRDefault="006C7D30" w:rsidP="00575CC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75CCD" w:rsidRPr="004A131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1316">
              <w:rPr>
                <w:b/>
                <w:bCs/>
                <w:szCs w:val="28"/>
              </w:rPr>
              <w:t>«</w:t>
            </w:r>
            <w:r w:rsidRPr="004A131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Ставропольского края</w:t>
            </w:r>
            <w:r w:rsidRPr="004A1316">
              <w:rPr>
                <w:b/>
                <w:bCs/>
                <w:szCs w:val="28"/>
              </w:rPr>
              <w:t>»</w:t>
            </w:r>
          </w:p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75CCD" w:rsidRDefault="00575CCD"/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427C4">
        <w:rPr>
          <w:szCs w:val="28"/>
        </w:rPr>
        <w:t>СВЕДЕНИЯ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 </w:t>
      </w:r>
      <w:hyperlink r:id="rId10" w:anchor="Par522" w:history="1">
        <w:r w:rsidRPr="002427C4">
          <w:rPr>
            <w:szCs w:val="28"/>
          </w:rPr>
          <w:t>&lt;*&gt;</w:t>
        </w:r>
      </w:hyperlink>
      <w:r w:rsidRPr="002427C4">
        <w:rPr>
          <w:szCs w:val="28"/>
        </w:rPr>
        <w:t xml:space="preserve"> и показателях решения задач  подпрограмм Программы и их значениях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575CCD" w:rsidRPr="002427C4" w:rsidTr="00575CCD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№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п</w:t>
            </w:r>
            <w:proofErr w:type="gramEnd"/>
            <w:r w:rsidRPr="002427C4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единица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измерения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75CCD" w:rsidRPr="002427C4" w:rsidTr="00575CCD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2021</w:t>
            </w:r>
          </w:p>
        </w:tc>
      </w:tr>
      <w:tr w:rsidR="00575CCD" w:rsidRPr="002427C4" w:rsidTr="00575CCD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575CCD" w:rsidRPr="002427C4" w:rsidTr="00575CCD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FB456A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10,7</w:t>
            </w:r>
          </w:p>
        </w:tc>
      </w:tr>
      <w:tr w:rsidR="008334BB" w:rsidRPr="002427C4" w:rsidTr="008334BB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2427C4" w:rsidRDefault="008334BB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0F74C0" w:rsidRDefault="008334BB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70</w:t>
            </w:r>
          </w:p>
        </w:tc>
      </w:tr>
      <w:tr w:rsidR="00575CCD" w:rsidRPr="002427C4" w:rsidTr="00575CCD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1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64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7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80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102,5</w:t>
            </w:r>
          </w:p>
        </w:tc>
      </w:tr>
      <w:tr w:rsidR="00575CCD" w:rsidRPr="002427C4" w:rsidTr="00575CCD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19,23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12,57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</w:t>
            </w:r>
            <w:r w:rsidR="008922A2" w:rsidRPr="000F74C0">
              <w:rPr>
                <w:bCs/>
                <w:szCs w:val="28"/>
              </w:rPr>
              <w:t>8</w:t>
            </w:r>
            <w:r w:rsidRPr="000F74C0">
              <w:rPr>
                <w:bCs/>
                <w:szCs w:val="28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1,0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5708C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575CCD" w:rsidRPr="002427C4">
                <w:rPr>
                  <w:szCs w:val="28"/>
                </w:rPr>
                <w:t>Подпрограмма</w:t>
              </w:r>
            </w:hyperlink>
            <w:r w:rsidR="00575CCD" w:rsidRPr="002427C4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575CCD" w:rsidRPr="002427C4" w:rsidTr="00575CCD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184,8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227,0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63E60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268,8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27</w:t>
            </w:r>
            <w:r w:rsidR="00163E60" w:rsidRPr="000F74C0">
              <w:rPr>
                <w:szCs w:val="28"/>
              </w:rPr>
              <w:t>4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79,</w:t>
            </w:r>
            <w:r w:rsidRPr="000F74C0">
              <w:rPr>
                <w:szCs w:val="28"/>
              </w:rPr>
              <w:t>9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FB456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FB456A" w:rsidRPr="000F74C0">
              <w:rPr>
                <w:szCs w:val="28"/>
              </w:rPr>
              <w:t>605</w:t>
            </w:r>
            <w:r w:rsidRPr="000F74C0">
              <w:rPr>
                <w:szCs w:val="28"/>
              </w:rPr>
              <w:t>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3065</w:t>
            </w:r>
            <w:r w:rsidR="00575CCD" w:rsidRPr="000F74C0">
              <w:rPr>
                <w:szCs w:val="28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3371</w:t>
            </w:r>
            <w:r w:rsidR="00575CCD" w:rsidRPr="000F74C0">
              <w:rPr>
                <w:szCs w:val="28"/>
              </w:rPr>
              <w:t>,0</w:t>
            </w:r>
          </w:p>
        </w:tc>
      </w:tr>
      <w:tr w:rsidR="00163E60" w:rsidRPr="00163E60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24,</w:t>
            </w:r>
            <w:r w:rsidR="00163E60" w:rsidRPr="000F74C0">
              <w:rPr>
                <w:szCs w:val="28"/>
              </w:rPr>
              <w:t>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t xml:space="preserve">Подпрограмма  2 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575CCD" w:rsidRPr="002427C4" w:rsidTr="00575CCD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575CCD" w:rsidRPr="002427C4" w:rsidTr="00575CCD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F74C0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90,0</w:t>
            </w:r>
          </w:p>
        </w:tc>
      </w:tr>
      <w:tr w:rsidR="00575CCD" w:rsidRPr="002427C4" w:rsidTr="00575CCD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</w:tr>
      <w:tr w:rsidR="00575CCD" w:rsidRPr="002427C4" w:rsidTr="00575CCD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575CCD" w:rsidRPr="002427C4" w:rsidTr="00575CCD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575CCD" w:rsidRPr="002427C4" w:rsidTr="00575CCD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17715</w:t>
            </w:r>
          </w:p>
        </w:tc>
      </w:tr>
      <w:tr w:rsidR="00575CCD" w:rsidRPr="002427C4" w:rsidTr="00575CCD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2 подпрограммы 3 Программы  «</w:t>
            </w:r>
            <w:r w:rsidRPr="000F74C0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0F74C0">
              <w:rPr>
                <w:b/>
                <w:iCs/>
                <w:szCs w:val="28"/>
              </w:rPr>
              <w:t xml:space="preserve">  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18665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</w:pPr>
          </w:p>
          <w:p w:rsidR="00575CCD" w:rsidRPr="000F74C0" w:rsidRDefault="00575CCD" w:rsidP="00575CCD">
            <w:pPr>
              <w:jc w:val="right"/>
            </w:pPr>
            <w:r w:rsidRPr="000F74C0">
              <w:t>100,00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3 подпрограммы 3  Программы «</w:t>
            </w:r>
            <w:r w:rsidRPr="000F74C0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F74C0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0F74C0">
              <w:rPr>
                <w:szCs w:val="28"/>
              </w:rPr>
              <w:t>»</w:t>
            </w:r>
          </w:p>
        </w:tc>
      </w:tr>
      <w:tr w:rsidR="00575CCD" w:rsidRPr="002427C4" w:rsidTr="00575CCD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культурных мероприятий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3565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Уровень фактической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  <w:lang w:eastAsia="ru-RU"/>
              </w:rPr>
            </w:pPr>
            <w:r w:rsidRPr="000F74C0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  <w:highlight w:val="yellow"/>
              </w:rPr>
            </w:pPr>
            <w:r w:rsidRPr="000F74C0">
              <w:rPr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2030</w:t>
            </w:r>
          </w:p>
        </w:tc>
      </w:tr>
      <w:tr w:rsidR="00575CCD" w:rsidRPr="002427C4" w:rsidTr="00575CCD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575CCD" w:rsidRPr="002427C4" w:rsidTr="00575CCD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</w:pPr>
            <w:r w:rsidRPr="000F74C0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</w:tr>
      <w:tr w:rsidR="00575CCD" w:rsidRPr="002427C4" w:rsidTr="00575CCD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0F74C0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0F74C0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</w:tr>
      <w:tr w:rsidR="00575CCD" w:rsidRPr="002427C4" w:rsidTr="00575CCD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4. Подпрограмма 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0F74C0">
              <w:rPr>
                <w:szCs w:val="28"/>
              </w:rPr>
              <w:t>арочными</w:t>
            </w:r>
            <w:proofErr w:type="gramEnd"/>
            <w:r w:rsidRPr="000F74C0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Задача 2 подпрограммы 4  «</w:t>
            </w:r>
            <w:r w:rsidRPr="000F74C0">
              <w:t>П</w:t>
            </w:r>
            <w:r w:rsidRPr="000F74C0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575CCD" w:rsidRPr="002427C4" w:rsidTr="00575CCD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E6390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15</w:t>
            </w:r>
          </w:p>
        </w:tc>
      </w:tr>
      <w:tr w:rsidR="00575CCD" w:rsidRPr="002427C4" w:rsidTr="00575CCD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F74C0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преступлений, совершенных на территории городского округа, в том числе,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93</w:t>
            </w:r>
          </w:p>
        </w:tc>
      </w:tr>
      <w:tr w:rsidR="00575CCD" w:rsidRPr="002427C4" w:rsidTr="00575CCD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proofErr w:type="gramStart"/>
            <w:r w:rsidRPr="000F74C0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25960,0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Количество объектов муниципального имущества в </w:t>
            </w:r>
            <w:r w:rsidRPr="002427C4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D83FFB" w:rsidP="00575CCD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D83FFB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D83FFB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D83FFB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bookmarkStart w:id="1" w:name="_GoBack"/>
            <w:bookmarkEnd w:id="1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</w:tr>
      <w:tr w:rsidR="00575CCD" w:rsidRPr="002427C4" w:rsidTr="00575CCD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2427C4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575CCD" w:rsidRPr="002427C4" w:rsidTr="00575CCD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Задача 1 подпрограммы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575CCD" w:rsidRPr="002427C4" w:rsidTr="00575CCD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Доля </w:t>
            </w:r>
            <w:r w:rsidRPr="002427C4">
              <w:rPr>
                <w:rFonts w:eastAsia="Times New Roman"/>
                <w:szCs w:val="28"/>
              </w:rPr>
              <w:t>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48,5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2427C4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2427C4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97,0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20200,0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8 «Молодежная политика»</w:t>
            </w:r>
          </w:p>
        </w:tc>
      </w:tr>
      <w:tr w:rsidR="00575CCD" w:rsidRPr="002427C4" w:rsidTr="00575CCD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575CCD" w:rsidRPr="002427C4" w:rsidTr="00575CCD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64</w:t>
            </w:r>
          </w:p>
        </w:tc>
      </w:tr>
      <w:tr w:rsidR="00575CCD" w:rsidRPr="002427C4" w:rsidTr="00575CCD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1,8</w:t>
            </w:r>
          </w:p>
        </w:tc>
      </w:tr>
      <w:tr w:rsidR="00575CCD" w:rsidRPr="002427C4" w:rsidTr="00575CCD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4,5</w:t>
            </w:r>
            <w:r w:rsidR="006C7D30">
              <w:t>»</w:t>
            </w:r>
          </w:p>
        </w:tc>
      </w:tr>
    </w:tbl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Default="00575CCD"/>
    <w:p w:rsidR="006C7D30" w:rsidRDefault="006C7D30"/>
    <w:p w:rsidR="006C7D30" w:rsidRDefault="006C7D30"/>
    <w:p w:rsidR="00575CCD" w:rsidRDefault="00575CCD"/>
    <w:p w:rsidR="00575CCD" w:rsidRDefault="00575CCD"/>
    <w:p w:rsidR="00575CCD" w:rsidRDefault="00575CCD"/>
    <w:p w:rsidR="00575CCD" w:rsidRDefault="00575CCD"/>
    <w:p w:rsidR="006C7D30" w:rsidRDefault="006C7D30"/>
    <w:p w:rsidR="006C7D30" w:rsidRDefault="006C7D30"/>
    <w:p w:rsidR="006C7D30" w:rsidRDefault="006C7D30"/>
    <w:p w:rsidR="006C7D30" w:rsidRDefault="006C7D30"/>
    <w:p w:rsidR="00575CCD" w:rsidRDefault="00575CCD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36599C" w:rsidRPr="007E6CD5" w:rsidTr="0036599C">
        <w:tc>
          <w:tcPr>
            <w:tcW w:w="15353" w:type="dxa"/>
            <w:gridSpan w:val="2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36599C" w:rsidRPr="007E6CD5" w:rsidTr="0036599C">
        <w:tc>
          <w:tcPr>
            <w:tcW w:w="7676" w:type="dxa"/>
          </w:tcPr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36599C" w:rsidRPr="007E6CD5" w:rsidRDefault="0036599C" w:rsidP="0036599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427C4">
        <w:rPr>
          <w:rFonts w:eastAsia="Times New Roman"/>
          <w:caps/>
          <w:szCs w:val="28"/>
          <w:lang w:eastAsia="ru-RU"/>
        </w:rPr>
        <w:t>Объемы и источники</w:t>
      </w:r>
    </w:p>
    <w:p w:rsidR="00392830" w:rsidRPr="002427C4" w:rsidRDefault="00392830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427C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hyperlink r:id="rId12" w:anchor="Par2393" w:history="1">
        <w:r w:rsidRPr="002427C4">
          <w:rPr>
            <w:rStyle w:val="a3"/>
            <w:color w:val="auto"/>
            <w:szCs w:val="28"/>
          </w:rPr>
          <w:t>&lt;*&gt;</w:t>
        </w:r>
      </w:hyperlink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2427C4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2427C4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2427C4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1566B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724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236 724,18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805802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733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E0E1D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235FEC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198 185,20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0F74C0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0F74C0" w:rsidRDefault="00DB4F82" w:rsidP="00235FEC">
            <w:pPr>
              <w:ind w:right="-104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175 979,10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164 771,09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2427C4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22 206,10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9 023,21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2427C4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982263">
            <w:pPr>
              <w:ind w:left="-111" w:right="-104" w:firstLine="111"/>
              <w:jc w:val="right"/>
            </w:pPr>
            <w:r w:rsidRPr="000F74C0">
              <w:t>12 </w:t>
            </w:r>
            <w:r w:rsidR="00982263" w:rsidRPr="000F74C0">
              <w:t>520</w:t>
            </w:r>
            <w:r w:rsidRPr="000F74C0">
              <w:t>,</w:t>
            </w:r>
            <w:r w:rsidR="00982263" w:rsidRPr="000F74C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2427C4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8D292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8D292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515F6D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515F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6D7B07">
              <w:rPr>
                <w:szCs w:val="28"/>
              </w:rPr>
              <w:t xml:space="preserve">«Снижение административных </w:t>
            </w:r>
            <w:r w:rsidRPr="002427C4">
              <w:rPr>
                <w:szCs w:val="28"/>
              </w:rPr>
              <w:t>бар</w:t>
            </w:r>
            <w:r w:rsidR="006D7B07">
              <w:rPr>
                <w:szCs w:val="28"/>
              </w:rPr>
              <w:t xml:space="preserve">ьеров,    оптимизация и </w:t>
            </w:r>
            <w:r w:rsidRPr="002427C4">
              <w:rPr>
                <w:szCs w:val="28"/>
              </w:rPr>
              <w:t>повышение качества пред</w:t>
            </w:r>
            <w:r w:rsidR="006D7B07">
              <w:rPr>
                <w:szCs w:val="28"/>
              </w:rPr>
              <w:t>оставления государственных и муниципальных услуг</w:t>
            </w:r>
            <w:r w:rsidRPr="002427C4">
              <w:rPr>
                <w:szCs w:val="28"/>
              </w:rPr>
              <w:t xml:space="preserve"> в </w:t>
            </w:r>
            <w:r w:rsidRPr="002427C4">
              <w:t xml:space="preserve">Благодарненском городском округе  Ставропольского края, в </w:t>
            </w:r>
            <w:r w:rsidR="006D7B07">
              <w:t>том числе в многофункциональном</w:t>
            </w:r>
            <w:r w:rsidRPr="002427C4">
              <w:t xml:space="preserve">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E7335B" w:rsidRPr="002427C4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2427C4"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2427C4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E7335B" w:rsidRPr="002427C4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611000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E7335B" w:rsidP="00DD0A4D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0F74C0" w:rsidRDefault="00DD0A4D" w:rsidP="00DD0A4D">
            <w:pPr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36782E" w:rsidP="001566B5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</w:t>
            </w:r>
            <w:r w:rsidR="001566B5" w:rsidRPr="000F74C0">
              <w:rPr>
                <w:szCs w:val="28"/>
              </w:rPr>
              <w:t>417</w:t>
            </w:r>
            <w:r w:rsidRPr="000F74C0">
              <w:rPr>
                <w:szCs w:val="28"/>
              </w:rPr>
              <w:t>,</w:t>
            </w:r>
            <w:r w:rsidR="001566B5" w:rsidRPr="000F74C0">
              <w:rPr>
                <w:szCs w:val="28"/>
              </w:rPr>
              <w:t xml:space="preserve">5 </w:t>
            </w:r>
            <w:r w:rsidRPr="000F74C0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124 417,5 7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36782E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491E8C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170D42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743129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907E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907EE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743129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69DF" w:rsidP="001566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73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 726,45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36782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73 609,99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3426AD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788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A907EE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17 788,25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DB5D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214625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C464F5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 xml:space="preserve">Подпрограмма "Профилактика терроризма и его идеологии, экстремизма, гармонизации </w:t>
            </w:r>
            <w:r w:rsidRPr="002427C4">
              <w:rPr>
                <w:bCs/>
                <w:szCs w:val="28"/>
              </w:rPr>
              <w:lastRenderedPageBreak/>
              <w:t>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B5D30" w:rsidP="00810DC3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31</w:t>
            </w:r>
            <w:r w:rsidR="00810DC3" w:rsidRPr="000F74C0">
              <w:rPr>
                <w:szCs w:val="28"/>
              </w:rPr>
              <w:t>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D4FA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31 448,45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7D4FA5" w:rsidP="00F1650E">
            <w:pPr>
              <w:jc w:val="right"/>
            </w:pPr>
            <w:r w:rsidRPr="000F74C0">
              <w:t>29 296,90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0F74C0" w:rsidRDefault="00FB2672" w:rsidP="009901EA">
            <w:pPr>
              <w:jc w:val="right"/>
            </w:pPr>
            <w:r w:rsidRPr="000F74C0">
              <w:t>19 869,44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18 012,42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FB2672">
            <w:pPr>
              <w:jc w:val="right"/>
            </w:pPr>
            <w:r w:rsidRPr="000F74C0">
              <w:t>9</w:t>
            </w:r>
            <w:r w:rsidR="00FB2672" w:rsidRPr="000F74C0">
              <w:t> 427,46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E450C0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8 945,89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5B6F94">
            <w:pPr>
              <w:jc w:val="right"/>
            </w:pPr>
            <w:r w:rsidRPr="000F74C0">
              <w:t>9</w:t>
            </w:r>
            <w:r w:rsidR="005B6F94" w:rsidRPr="000F74C0">
              <w:t> 697,95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1650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7 596,53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14796" w:rsidP="00FB2672">
            <w:pPr>
              <w:jc w:val="right"/>
            </w:pPr>
            <w:r w:rsidRPr="000F74C0">
              <w:t>2</w:t>
            </w:r>
            <w:r w:rsidR="00FB2672" w:rsidRPr="000F74C0">
              <w:t> </w:t>
            </w:r>
            <w:r w:rsidRPr="000F74C0">
              <w:t>1</w:t>
            </w:r>
            <w:r w:rsidR="00FB2672" w:rsidRPr="000F74C0">
              <w:t>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D762C9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1 649,85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Реализация мероприятий по предупреждению чрезвычайных ситуаций и стихийных бедствий природного и техногенного характера, гражданской </w:t>
            </w:r>
            <w:r>
              <w:rPr>
                <w:rFonts w:eastAsia="Times New Roman"/>
                <w:szCs w:val="28"/>
                <w:lang w:eastAsia="ru-RU"/>
              </w:rPr>
              <w:t>обороне»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5B6F94" w:rsidP="00C9454F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84B09">
            <w:pPr>
              <w:jc w:val="right"/>
            </w:pPr>
          </w:p>
          <w:p w:rsidR="0007052C" w:rsidRPr="000F74C0" w:rsidRDefault="0007052C" w:rsidP="00584B09">
            <w:pPr>
              <w:jc w:val="right"/>
            </w:pPr>
          </w:p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64FEE" w:rsidP="00FB2672">
            <w:pPr>
              <w:jc w:val="right"/>
            </w:pPr>
            <w:r w:rsidRPr="000F74C0">
              <w:t>12</w:t>
            </w:r>
            <w:r w:rsidR="00FB2672" w:rsidRPr="000F74C0">
              <w:t> 272,91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8 448,72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64FEE">
            <w:pPr>
              <w:jc w:val="right"/>
            </w:pPr>
            <w:r w:rsidRPr="000F74C0">
              <w:t>7 326,04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2427C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563" w:rsidRPr="000F74C0" w:rsidRDefault="00FB2672" w:rsidP="00F64FE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7 296,04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r w:rsidR="006D7B07">
              <w:rPr>
                <w:rFonts w:eastAsia="Times New Roman"/>
                <w:szCs w:val="28"/>
                <w:lang w:eastAsia="ru-RU"/>
              </w:rPr>
              <w:t>грамма «</w:t>
            </w:r>
            <w:r w:rsidRPr="002427C4">
              <w:rPr>
                <w:szCs w:val="28"/>
              </w:rPr>
              <w:t>Профилактика правонарушений, обеспечение общественного порядка</w:t>
            </w:r>
            <w:r w:rsidR="006D7B0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Создание условий для обеспечения безопасности граждан </w:t>
            </w:r>
            <w:r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Программы «</w:t>
            </w:r>
            <w:r w:rsidR="0007052C" w:rsidRPr="002427C4">
              <w:rPr>
                <w:bCs/>
                <w:szCs w:val="28"/>
              </w:rPr>
              <w:t xml:space="preserve">Управление муниципальной собственностью в области </w:t>
            </w:r>
            <w:proofErr w:type="gramStart"/>
            <w:r w:rsidR="0007052C" w:rsidRPr="002427C4">
              <w:rPr>
                <w:bCs/>
                <w:szCs w:val="28"/>
              </w:rPr>
              <w:t>имущественных</w:t>
            </w:r>
            <w:proofErr w:type="gramEnd"/>
            <w:r w:rsidR="0007052C" w:rsidRPr="002427C4">
              <w:rPr>
                <w:bCs/>
                <w:szCs w:val="28"/>
              </w:rPr>
              <w:t xml:space="preserve"> и земельных</w:t>
            </w:r>
          </w:p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AF07BE" w:rsidP="009901EA">
            <w:pPr>
              <w:jc w:val="both"/>
              <w:rPr>
                <w:bCs/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</w:t>
            </w:r>
            <w:r w:rsidRPr="002427C4">
              <w:rPr>
                <w:szCs w:val="28"/>
              </w:rPr>
              <w:lastRenderedPageBreak/>
              <w:t>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752A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A02A49">
            <w:pPr>
              <w:jc w:val="right"/>
            </w:pPr>
            <w:r w:rsidRPr="000F74C0">
              <w:t>16 481,50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F07BE">
            <w:pPr>
              <w:jc w:val="right"/>
            </w:pPr>
            <w:r w:rsidRPr="000F74C0">
              <w:t>14</w:t>
            </w:r>
            <w:r w:rsidR="00AF07BE" w:rsidRPr="000F74C0">
              <w:t>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AF07BE" w:rsidP="005B6F94">
            <w:pPr>
              <w:tabs>
                <w:tab w:val="center" w:pos="601"/>
                <w:tab w:val="right" w:pos="1452"/>
              </w:tabs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ab/>
            </w:r>
            <w:r w:rsidRPr="000F74C0">
              <w:rPr>
                <w:szCs w:val="28"/>
              </w:rPr>
              <w:tab/>
              <w:t>3 0</w:t>
            </w:r>
            <w:r w:rsidR="005B6F94" w:rsidRPr="000F74C0">
              <w:rPr>
                <w:szCs w:val="28"/>
              </w:rPr>
              <w:t>78</w:t>
            </w:r>
            <w:r w:rsidRPr="000F74C0">
              <w:rPr>
                <w:szCs w:val="28"/>
              </w:rPr>
              <w:t>,</w:t>
            </w:r>
            <w:r w:rsidR="005B6F94" w:rsidRPr="000F74C0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5B6F94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F95A15" w:rsidP="006B167D">
            <w:pPr>
              <w:ind w:left="-111" w:right="-108"/>
              <w:jc w:val="right"/>
            </w:pPr>
            <w:r w:rsidRPr="000F74C0">
              <w:t>43</w:t>
            </w:r>
            <w:r w:rsidR="006B167D" w:rsidRPr="000F74C0">
              <w:t>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6B167D" w:rsidP="00F95A15">
            <w:pPr>
              <w:ind w:left="-111" w:right="-104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6B167D" w:rsidP="00F95A15">
            <w:pPr>
              <w:ind w:left="-111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95A15" w:rsidP="00F21856">
            <w:pPr>
              <w:ind w:left="-111" w:right="-108"/>
              <w:jc w:val="right"/>
            </w:pPr>
            <w:r w:rsidRPr="000F74C0">
              <w:t>36</w:t>
            </w:r>
            <w:r w:rsidR="00F21856" w:rsidRPr="000F74C0">
              <w:t>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21856">
            <w:pPr>
              <w:ind w:left="-111"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21856">
            <w:pPr>
              <w:ind w:left="-111"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8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3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ind w:right="-108" w:hanging="108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DE2615">
            <w:pPr>
              <w:jc w:val="right"/>
            </w:pPr>
          </w:p>
          <w:p w:rsidR="0007052C" w:rsidRPr="000F74C0" w:rsidRDefault="0007052C" w:rsidP="00DE2615">
            <w:pPr>
              <w:jc w:val="right"/>
            </w:pPr>
          </w:p>
          <w:p w:rsidR="0007052C" w:rsidRPr="000F74C0" w:rsidRDefault="006B167D" w:rsidP="00DE2615">
            <w:pPr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-250"/>
              <w:jc w:val="right"/>
            </w:pPr>
          </w:p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33"/>
              <w:jc w:val="right"/>
            </w:pPr>
          </w:p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1856" w:rsidP="00DE2615">
            <w:pPr>
              <w:ind w:right="-108" w:hanging="108"/>
              <w:jc w:val="right"/>
            </w:pPr>
            <w:r w:rsidRPr="000F74C0">
              <w:t>36 435,51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95A15">
            <w:pPr>
              <w:ind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 8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37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  <w:r w:rsidR="006C7D30">
              <w:t>»</w:t>
            </w:r>
          </w:p>
        </w:tc>
      </w:tr>
    </w:tbl>
    <w:p w:rsidR="00007105" w:rsidRDefault="00007105" w:rsidP="004B1EDC">
      <w:pPr>
        <w:rPr>
          <w:szCs w:val="28"/>
        </w:rPr>
      </w:pPr>
    </w:p>
    <w:p w:rsidR="004B1EDC" w:rsidRDefault="004B1EDC" w:rsidP="004B1EDC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p w:rsidR="00007105" w:rsidRPr="002427C4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2427C4" w:rsidTr="00DD0A4D">
        <w:tc>
          <w:tcPr>
            <w:tcW w:w="2660" w:type="dxa"/>
            <w:hideMark/>
          </w:tcPr>
          <w:p w:rsidR="004B1EDC" w:rsidRPr="002427C4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427C4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культуры администрации </w:t>
            </w:r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 xml:space="preserve">лагодарненского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B4F82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 xml:space="preserve">лагодарненского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1BC1" w:rsidRDefault="00AE1BC1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7E6CD5" w:rsidRDefault="00D20F93" w:rsidP="00A87CA5">
      <w:pPr>
        <w:sectPr w:rsidR="00D20F93" w:rsidRPr="007E6CD5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EF423E" w:rsidRPr="007E6CD5" w:rsidRDefault="00EF423E" w:rsidP="006C7D3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6CD5">
        <w:rPr>
          <w:bCs/>
        </w:rPr>
        <w:lastRenderedPageBreak/>
        <w:t xml:space="preserve">4. </w:t>
      </w:r>
      <w:proofErr w:type="gramStart"/>
      <w:r w:rsidRPr="007E6CD5">
        <w:rPr>
          <w:bCs/>
        </w:rPr>
        <w:t xml:space="preserve">В приложении </w:t>
      </w:r>
      <w:r>
        <w:rPr>
          <w:bCs/>
        </w:rPr>
        <w:t>6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D91C66">
        <w:rPr>
          <w:szCs w:val="28"/>
        </w:rPr>
        <w:t xml:space="preserve">«Снижение </w:t>
      </w:r>
      <w:r>
        <w:rPr>
          <w:szCs w:val="28"/>
        </w:rPr>
        <w:t>административных барьеров, оптимизация и</w:t>
      </w:r>
      <w:r w:rsidRPr="00D91C66">
        <w:rPr>
          <w:szCs w:val="28"/>
        </w:rPr>
        <w:t xml:space="preserve"> повышение качества предоставлени</w:t>
      </w:r>
      <w:r>
        <w:rPr>
          <w:szCs w:val="28"/>
        </w:rPr>
        <w:t>я государственных и муниципальных услуг</w:t>
      </w:r>
      <w:r w:rsidRPr="00D91C66">
        <w:rPr>
          <w:szCs w:val="28"/>
        </w:rPr>
        <w:t xml:space="preserve"> в </w:t>
      </w:r>
      <w:r w:rsidRPr="00D91C66">
        <w:t>Б</w:t>
      </w:r>
      <w:r>
        <w:t>лагодарненском городском округе</w:t>
      </w:r>
      <w:r w:rsidRPr="00D91C66">
        <w:t xml:space="preserve"> Ставропольского края, в </w:t>
      </w:r>
      <w:r>
        <w:t>том числе в многофункциональном</w:t>
      </w:r>
      <w:r w:rsidRPr="00D91C66">
        <w:t xml:space="preserve"> центре предоставления государственных и муниципальных услуг»</w:t>
      </w:r>
      <w:r w:rsidR="006C7D30">
        <w:t xml:space="preserve">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</w:t>
      </w:r>
      <w:proofErr w:type="gramEnd"/>
      <w:r w:rsidRPr="007E6CD5">
        <w:rPr>
          <w:bCs/>
          <w:szCs w:val="28"/>
        </w:rPr>
        <w:t xml:space="preserve">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EF423E">
        <w:tc>
          <w:tcPr>
            <w:tcW w:w="2375" w:type="dxa"/>
            <w:hideMark/>
          </w:tcPr>
          <w:p w:rsidR="00D20F93" w:rsidRPr="00D91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20F93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</w:t>
            </w:r>
            <w:r w:rsidRPr="002427C4">
              <w:rPr>
                <w:lang w:eastAsia="en-US"/>
              </w:rPr>
              <w:t>всех источников финансирования составит 4</w:t>
            </w:r>
            <w:r w:rsidR="004471B9" w:rsidRPr="002427C4">
              <w:rPr>
                <w:lang w:eastAsia="en-US"/>
              </w:rPr>
              <w:t>1</w:t>
            </w:r>
            <w:r w:rsidRPr="002427C4">
              <w:rPr>
                <w:lang w:eastAsia="en-US"/>
              </w:rPr>
              <w:t> </w:t>
            </w:r>
            <w:r w:rsidR="00EF423E">
              <w:rPr>
                <w:lang w:eastAsia="en-US"/>
              </w:rPr>
              <w:t>245</w:t>
            </w:r>
            <w:r w:rsidRPr="002427C4">
              <w:rPr>
                <w:lang w:eastAsia="en-US"/>
              </w:rPr>
              <w:t>,</w:t>
            </w:r>
            <w:r w:rsidR="004471B9" w:rsidRPr="002427C4">
              <w:rPr>
                <w:lang w:eastAsia="en-US"/>
              </w:rPr>
              <w:t>79</w:t>
            </w:r>
            <w:r w:rsidRPr="002427C4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D7296D" w:rsidRPr="002427C4">
              <w:t>14 </w:t>
            </w:r>
            <w:r w:rsidR="00EF423E">
              <w:t>308</w:t>
            </w:r>
            <w:r w:rsidR="00D7296D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2021 год -  13 472,38 тыс. рублей;  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средств местного бюджета составит </w:t>
            </w:r>
            <w:r w:rsidR="00EF423E" w:rsidRPr="002427C4">
              <w:rPr>
                <w:lang w:eastAsia="en-US"/>
              </w:rPr>
              <w:t>41 </w:t>
            </w:r>
            <w:r w:rsidR="00EF423E">
              <w:rPr>
                <w:lang w:eastAsia="en-US"/>
              </w:rPr>
              <w:t>245</w:t>
            </w:r>
            <w:r w:rsidR="00EF423E" w:rsidRPr="002427C4">
              <w:rPr>
                <w:lang w:eastAsia="en-US"/>
              </w:rPr>
              <w:t xml:space="preserve">,79 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EF423E" w:rsidRPr="002427C4">
              <w:t>14 </w:t>
            </w:r>
            <w:r w:rsidR="00EF423E">
              <w:t>308</w:t>
            </w:r>
            <w:r w:rsidR="00EF423E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13 472,38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0,0 тыс. рублей</w:t>
            </w:r>
            <w:proofErr w:type="gramStart"/>
            <w:r w:rsidRPr="00D91C66">
              <w:rPr>
                <w:lang w:eastAsia="en-US"/>
              </w:rPr>
              <w:t>.</w:t>
            </w:r>
            <w:r w:rsidR="006C7D30">
              <w:rPr>
                <w:lang w:eastAsia="en-US"/>
              </w:rPr>
              <w:t>»</w:t>
            </w:r>
            <w:proofErr w:type="gramEnd"/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4717" w:rsidRPr="00D91C66" w:rsidRDefault="00EF423E" w:rsidP="006C7D3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5</w:t>
      </w:r>
      <w:r w:rsidRPr="007E6CD5">
        <w:rPr>
          <w:bCs/>
        </w:rPr>
        <w:t xml:space="preserve">. В приложении </w:t>
      </w:r>
      <w:r>
        <w:rPr>
          <w:bCs/>
        </w:rPr>
        <w:t>7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>в подпрограмме</w:t>
      </w:r>
      <w:r w:rsidR="00CD4996">
        <w:rPr>
          <w:bCs/>
        </w:rPr>
        <w:t xml:space="preserve"> </w:t>
      </w:r>
      <w:r w:rsidRPr="007E6CD5">
        <w:rPr>
          <w:bCs/>
          <w:szCs w:val="28"/>
        </w:rPr>
        <w:t xml:space="preserve"> </w:t>
      </w:r>
      <w:r w:rsidR="00944717"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E6CD5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944717">
        <w:tc>
          <w:tcPr>
            <w:tcW w:w="2375" w:type="dxa"/>
          </w:tcPr>
          <w:p w:rsidR="00D20F93" w:rsidRPr="00D91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20F93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D91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20F93" w:rsidRPr="00D91C66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 2</w:t>
            </w:r>
            <w:r w:rsidR="004471B9">
              <w:rPr>
                <w:lang w:eastAsia="en-US"/>
              </w:rPr>
              <w:t>8</w:t>
            </w:r>
            <w:r w:rsidR="00944717">
              <w:rPr>
                <w:lang w:eastAsia="en-US"/>
              </w:rPr>
              <w:t>9</w:t>
            </w:r>
            <w:r w:rsidR="00D20F93" w:rsidRPr="00D91C66">
              <w:rPr>
                <w:lang w:eastAsia="en-US"/>
              </w:rPr>
              <w:t> </w:t>
            </w:r>
            <w:r w:rsidR="007E7A68">
              <w:rPr>
                <w:lang w:eastAsia="en-US"/>
              </w:rPr>
              <w:t>605</w:t>
            </w:r>
            <w:r w:rsidR="00D20F93" w:rsidRPr="00D91C66">
              <w:rPr>
                <w:lang w:eastAsia="en-US"/>
              </w:rPr>
              <w:t>,</w:t>
            </w:r>
            <w:r w:rsidR="007E7A68">
              <w:rPr>
                <w:lang w:eastAsia="en-US"/>
              </w:rPr>
              <w:t>03</w:t>
            </w:r>
            <w:r w:rsidR="00D20F93" w:rsidRPr="00D91C66">
              <w:rPr>
                <w:lang w:eastAsia="en-US"/>
              </w:rPr>
              <w:t xml:space="preserve">  тыс. рубл</w:t>
            </w:r>
            <w:r w:rsidR="00F4067C">
              <w:rPr>
                <w:lang w:eastAsia="en-US"/>
              </w:rPr>
              <w:t xml:space="preserve">ей, в том числе </w:t>
            </w:r>
            <w:r w:rsidR="00D20F93" w:rsidRPr="00D91C66">
              <w:rPr>
                <w:lang w:eastAsia="en-US"/>
              </w:rPr>
              <w:t>по годам: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944717">
              <w:rPr>
                <w:lang w:eastAsia="en-US"/>
              </w:rPr>
              <w:t>124</w:t>
            </w:r>
            <w:r w:rsidR="007E7A68">
              <w:t> 417,57</w:t>
            </w:r>
            <w:r w:rsidR="004471B9">
              <w:t xml:space="preserve"> </w:t>
            </w:r>
            <w:r w:rsidR="00D20F93" w:rsidRPr="00D91C66">
              <w:rPr>
                <w:lang w:eastAsia="en-US"/>
              </w:rPr>
              <w:t>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81 </w:t>
            </w:r>
            <w:r w:rsidR="00D20F93" w:rsidRPr="000F74C0">
              <w:rPr>
                <w:lang w:eastAsia="en-US"/>
              </w:rPr>
              <w:t>022,27 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2021 год - </w:t>
            </w:r>
            <w:r w:rsidR="00D20F93" w:rsidRPr="000F74C0">
              <w:rPr>
                <w:lang w:eastAsia="en-US"/>
              </w:rPr>
              <w:t>84 165,19 тыс. рублей;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944717" w:rsidRPr="000F74C0">
              <w:t>36 348,55 тыс</w:t>
            </w:r>
            <w:r w:rsidRPr="000F74C0">
              <w:rPr>
                <w:lang w:eastAsia="en-US"/>
              </w:rPr>
              <w:t>. рублей, в том числе по годам: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>36 348,55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253 256,48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2019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7E7A68" w:rsidRPr="000F74C0">
              <w:t xml:space="preserve">88 069,02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F4067C" w:rsidRPr="000F74C0">
              <w:rPr>
                <w:lang w:eastAsia="en-US"/>
              </w:rPr>
              <w:t>81 022,27</w:t>
            </w:r>
            <w:r w:rsidR="00D20F93" w:rsidRPr="000F74C0">
              <w:rPr>
                <w:lang w:eastAsia="en-US"/>
              </w:rPr>
              <w:t xml:space="preserve"> тыс</w:t>
            </w:r>
            <w:r w:rsidR="00D20F93" w:rsidRPr="00D91C66">
              <w:rPr>
                <w:lang w:eastAsia="en-US"/>
              </w:rPr>
              <w:t>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B03642">
              <w:rPr>
                <w:lang w:eastAsia="en-US"/>
              </w:rPr>
              <w:t xml:space="preserve"> год – </w:t>
            </w:r>
            <w:r w:rsidR="00F4067C">
              <w:rPr>
                <w:lang w:eastAsia="en-US"/>
              </w:rPr>
              <w:t xml:space="preserve">84 165,19 </w:t>
            </w:r>
            <w:r w:rsidR="00D20F93" w:rsidRPr="00D91C66">
              <w:rPr>
                <w:lang w:eastAsia="en-US"/>
              </w:rPr>
              <w:t>тыс. рублей</w:t>
            </w:r>
          </w:p>
          <w:p w:rsidR="00D20F93" w:rsidRPr="00D91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 - </w:t>
            </w:r>
            <w:r>
              <w:rPr>
                <w:rFonts w:eastAsia="Times New Roman"/>
                <w:szCs w:val="28"/>
                <w:lang w:eastAsia="ru-RU"/>
              </w:rPr>
              <w:t>0,0 тыс.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D91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t xml:space="preserve">2021 год - </w:t>
            </w:r>
            <w:r w:rsidR="00D20F93" w:rsidRPr="00D91C66">
              <w:t>0,0 тыс. рублей</w:t>
            </w:r>
            <w:proofErr w:type="gramStart"/>
            <w:r w:rsidR="00D20F93" w:rsidRPr="00D91C66">
              <w:t>.</w:t>
            </w:r>
            <w:r w:rsidR="006C7D30">
              <w:t>»</w:t>
            </w:r>
            <w:proofErr w:type="gramEnd"/>
          </w:p>
        </w:tc>
      </w:tr>
    </w:tbl>
    <w:p w:rsidR="00DA6B86" w:rsidRDefault="00DA6B86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Pr="007E6CD5" w:rsidRDefault="00944717" w:rsidP="006C7D30">
      <w:pPr>
        <w:ind w:firstLine="567"/>
        <w:jc w:val="both"/>
        <w:rPr>
          <w:bCs/>
          <w:szCs w:val="28"/>
        </w:rPr>
      </w:pPr>
      <w:r>
        <w:rPr>
          <w:bCs/>
        </w:rPr>
        <w:lastRenderedPageBreak/>
        <w:t>6</w:t>
      </w:r>
      <w:r w:rsidRPr="007E6CD5">
        <w:rPr>
          <w:bCs/>
        </w:rPr>
        <w:t xml:space="preserve">. </w:t>
      </w:r>
      <w:proofErr w:type="gramStart"/>
      <w:r w:rsidRPr="007E6CD5">
        <w:rPr>
          <w:bCs/>
        </w:rPr>
        <w:t xml:space="preserve">В приложении </w:t>
      </w:r>
      <w:r>
        <w:rPr>
          <w:bCs/>
        </w:rPr>
        <w:t>8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 xml:space="preserve">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  <w:proofErr w:type="gramEnd"/>
    </w:p>
    <w:p w:rsidR="00DA6B86" w:rsidRPr="00D91C66" w:rsidRDefault="00DA6B86" w:rsidP="00D20F93">
      <w:pPr>
        <w:pStyle w:val="ConsPlusCell"/>
        <w:jc w:val="both"/>
        <w:rPr>
          <w:lang w:eastAsia="en-US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c>
          <w:tcPr>
            <w:tcW w:w="2270" w:type="dxa"/>
          </w:tcPr>
          <w:p w:rsidR="00D20F93" w:rsidRPr="00D91C66" w:rsidRDefault="006C7D30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D20F93"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D20F93" w:rsidRPr="00D91C66" w:rsidRDefault="00D20F93" w:rsidP="00D20F9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2427C4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71B9">
              <w:rPr>
                <w:lang w:eastAsia="en-US"/>
              </w:rPr>
              <w:t>76 </w:t>
            </w:r>
            <w:r w:rsidR="00FF4302">
              <w:rPr>
                <w:lang w:eastAsia="en-US"/>
              </w:rPr>
              <w:t>160</w:t>
            </w:r>
            <w:r w:rsidR="004471B9">
              <w:rPr>
                <w:lang w:eastAsia="en-US"/>
              </w:rPr>
              <w:t>,</w:t>
            </w:r>
            <w:r w:rsidR="00FF4302">
              <w:rPr>
                <w:lang w:eastAsia="en-US"/>
              </w:rPr>
              <w:t>37</w:t>
            </w:r>
            <w:r w:rsidRPr="00D91C66">
              <w:rPr>
                <w:lang w:eastAsia="en-US"/>
              </w:rPr>
              <w:t xml:space="preserve"> тыс. рублей, в  то</w:t>
            </w:r>
            <w:r w:rsidRPr="002427C4">
              <w:rPr>
                <w:lang w:eastAsia="en-US"/>
              </w:rPr>
              <w:t>м  числе по годам: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</w:t>
            </w:r>
            <w:r w:rsidRPr="000F74C0">
              <w:rPr>
                <w:lang w:eastAsia="en-US"/>
              </w:rPr>
              <w:t xml:space="preserve">год – </w:t>
            </w:r>
            <w:r w:rsidR="00FF4302" w:rsidRPr="000F74C0">
              <w:t xml:space="preserve">31 448,45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22 354,50 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22 357,42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рублей, в том числе по годам: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74 008,82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 xml:space="preserve">29 296,90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2020 год – </w:t>
            </w:r>
            <w:r w:rsidR="00D20F93" w:rsidRPr="000F74C0">
              <w:rPr>
                <w:lang w:eastAsia="en-US"/>
              </w:rPr>
              <w:t xml:space="preserve">22 354,50  тыс. </w:t>
            </w:r>
            <w:r w:rsidR="00D20F93" w:rsidRPr="00D91C66">
              <w:rPr>
                <w:lang w:eastAsia="en-US"/>
              </w:rPr>
              <w:t>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22 357,42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рублей»</w:t>
            </w:r>
          </w:p>
        </w:tc>
      </w:tr>
    </w:tbl>
    <w:p w:rsidR="00D20F93" w:rsidRDefault="00D20F93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D31F8" w:rsidRDefault="002D31F8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Pr="007E6CD5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3"/>
      <w:headerReference w:type="defaul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8C" w:rsidRDefault="0055708C" w:rsidP="00AE1BC1">
      <w:r>
        <w:separator/>
      </w:r>
    </w:p>
  </w:endnote>
  <w:endnote w:type="continuationSeparator" w:id="0">
    <w:p w:rsidR="0055708C" w:rsidRDefault="0055708C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8C" w:rsidRDefault="0055708C" w:rsidP="00AE1BC1">
      <w:r>
        <w:separator/>
      </w:r>
    </w:p>
  </w:footnote>
  <w:footnote w:type="continuationSeparator" w:id="0">
    <w:p w:rsidR="0055708C" w:rsidRDefault="0055708C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0" w:rsidRDefault="001E6390">
    <w:pPr>
      <w:pStyle w:val="a6"/>
      <w:jc w:val="right"/>
    </w:pPr>
  </w:p>
  <w:p w:rsidR="001E6390" w:rsidRPr="00B83DC4" w:rsidRDefault="001E6390">
    <w:pPr>
      <w:pStyle w:val="a6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0" w:rsidRDefault="001E639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6390" w:rsidRDefault="001E639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1E6390" w:rsidRDefault="001E63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FB" w:rsidRPr="00D83FFB">
          <w:rPr>
            <w:noProof/>
            <w:lang w:val="ru-RU"/>
          </w:rPr>
          <w:t>26</w:t>
        </w:r>
        <w:r>
          <w:fldChar w:fldCharType="end"/>
        </w:r>
      </w:p>
    </w:sdtContent>
  </w:sdt>
  <w:p w:rsidR="001E6390" w:rsidRDefault="001E639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38C1"/>
    <w:rsid w:val="0012598F"/>
    <w:rsid w:val="001303CD"/>
    <w:rsid w:val="00147EE6"/>
    <w:rsid w:val="001566B5"/>
    <w:rsid w:val="00163E60"/>
    <w:rsid w:val="00170D42"/>
    <w:rsid w:val="001820AB"/>
    <w:rsid w:val="00190B20"/>
    <w:rsid w:val="001948C7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43CF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F5576"/>
    <w:rsid w:val="003253AB"/>
    <w:rsid w:val="003426AD"/>
    <w:rsid w:val="00346A67"/>
    <w:rsid w:val="0036599C"/>
    <w:rsid w:val="003660D2"/>
    <w:rsid w:val="003671A5"/>
    <w:rsid w:val="0036782E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A3B0A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509D2"/>
    <w:rsid w:val="0055337F"/>
    <w:rsid w:val="005544A5"/>
    <w:rsid w:val="0055708C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C7D30"/>
    <w:rsid w:val="006D0728"/>
    <w:rsid w:val="006D7B07"/>
    <w:rsid w:val="006E624A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49C3"/>
    <w:rsid w:val="007654AB"/>
    <w:rsid w:val="007708A1"/>
    <w:rsid w:val="00771D15"/>
    <w:rsid w:val="00773F01"/>
    <w:rsid w:val="00775E45"/>
    <w:rsid w:val="007861FE"/>
    <w:rsid w:val="007C7B20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3D2C"/>
    <w:rsid w:val="00C464F5"/>
    <w:rsid w:val="00C469BC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D4996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296D"/>
    <w:rsid w:val="00D762C9"/>
    <w:rsid w:val="00D76BF9"/>
    <w:rsid w:val="00D82B41"/>
    <w:rsid w:val="00D83FFB"/>
    <w:rsid w:val="00D91D49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6565-D046-4460-BCC2-B036D40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26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73</cp:revision>
  <cp:lastPrinted>2020-02-03T06:42:00Z</cp:lastPrinted>
  <dcterms:created xsi:type="dcterms:W3CDTF">2019-07-31T13:40:00Z</dcterms:created>
  <dcterms:modified xsi:type="dcterms:W3CDTF">2020-02-07T13:01:00Z</dcterms:modified>
</cp:coreProperties>
</file>