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0" w:rsidRDefault="000E7B90" w:rsidP="000E7B9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E7B90" w:rsidRDefault="000E7B90" w:rsidP="000E7B90">
      <w:pPr>
        <w:jc w:val="center"/>
        <w:rPr>
          <w:b/>
          <w:sz w:val="28"/>
          <w:szCs w:val="28"/>
        </w:rPr>
      </w:pPr>
    </w:p>
    <w:p w:rsidR="000E7B90" w:rsidRDefault="000E7B90" w:rsidP="000E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E7B90" w:rsidTr="00880785">
        <w:trPr>
          <w:trHeight w:val="229"/>
        </w:trPr>
        <w:tc>
          <w:tcPr>
            <w:tcW w:w="675" w:type="dxa"/>
          </w:tcPr>
          <w:p w:rsidR="000E7B90" w:rsidRPr="00F97D62" w:rsidRDefault="008600AC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E7B90" w:rsidRPr="00F97D62" w:rsidRDefault="008600AC" w:rsidP="0088078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</w:t>
            </w:r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на 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bookmarkEnd w:id="0"/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Default="000F1779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</w:t>
      </w:r>
      <w:r w:rsidR="005E4278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</w:t>
      </w:r>
      <w:r w:rsidR="005E4278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61474" w:rsidRPr="0097798E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7A5308">
        <w:rPr>
          <w:rFonts w:ascii="Times New Roman" w:hAnsi="Times New Roman"/>
          <w:sz w:val="28"/>
          <w:szCs w:val="28"/>
        </w:rPr>
        <w:t>31 октября 2019</w:t>
      </w:r>
      <w:r w:rsidR="0097798E" w:rsidRPr="0097798E">
        <w:rPr>
          <w:rFonts w:ascii="Times New Roman" w:hAnsi="Times New Roman"/>
          <w:sz w:val="28"/>
          <w:szCs w:val="28"/>
        </w:rPr>
        <w:t xml:space="preserve"> года № 1823 </w:t>
      </w:r>
      <w:r w:rsidR="00761474" w:rsidRPr="0097798E">
        <w:rPr>
          <w:rFonts w:ascii="Times New Roman" w:hAnsi="Times New Roman"/>
          <w:sz w:val="28"/>
          <w:szCs w:val="28"/>
        </w:rPr>
        <w:t>«О порядке размещения нестационарных торговых объекто</w:t>
      </w:r>
      <w:r w:rsidR="005E4278">
        <w:rPr>
          <w:rFonts w:ascii="Times New Roman" w:hAnsi="Times New Roman"/>
          <w:sz w:val="28"/>
          <w:szCs w:val="28"/>
        </w:rPr>
        <w:t>в по предоставлению услуг</w:t>
      </w:r>
      <w:r w:rsidR="00761474" w:rsidRPr="0097798E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края»</w:t>
      </w:r>
      <w:r w:rsidR="00E87DA0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04 декабря 2019 года  № 1974</w:t>
      </w:r>
      <w:proofErr w:type="gramEnd"/>
      <w:r w:rsidR="00E87DA0">
        <w:rPr>
          <w:rFonts w:ascii="Times New Roman" w:hAnsi="Times New Roman"/>
          <w:sz w:val="28"/>
          <w:szCs w:val="28"/>
        </w:rPr>
        <w:t>, от 25 февраля 2020 года  № 222,  от   27 апреля  2020 года № 448</w:t>
      </w:r>
      <w:r w:rsidR="00280333">
        <w:rPr>
          <w:rFonts w:ascii="Times New Roman" w:hAnsi="Times New Roman"/>
          <w:sz w:val="28"/>
          <w:szCs w:val="28"/>
        </w:rPr>
        <w:t>, от 28 мая 2020 года № 584</w:t>
      </w:r>
      <w:r w:rsidR="00B173CF">
        <w:rPr>
          <w:rFonts w:ascii="Times New Roman" w:hAnsi="Times New Roman"/>
          <w:sz w:val="28"/>
          <w:szCs w:val="28"/>
        </w:rPr>
        <w:t>, от 08 июня 2020 года № 632</w:t>
      </w:r>
      <w:r w:rsidR="00E87DA0">
        <w:rPr>
          <w:rFonts w:ascii="Times New Roman" w:hAnsi="Times New Roman"/>
          <w:sz w:val="28"/>
          <w:szCs w:val="28"/>
        </w:rPr>
        <w:t xml:space="preserve">) </w:t>
      </w:r>
      <w:r w:rsidR="00761474" w:rsidRPr="0097798E">
        <w:rPr>
          <w:rFonts w:ascii="Times New Roman" w:hAnsi="Times New Roman"/>
          <w:sz w:val="28"/>
          <w:szCs w:val="28"/>
        </w:rPr>
        <w:t xml:space="preserve">изменения, </w:t>
      </w:r>
      <w:r w:rsidR="00791951">
        <w:rPr>
          <w:rFonts w:ascii="Times New Roman" w:hAnsi="Times New Roman"/>
          <w:sz w:val="28"/>
          <w:szCs w:val="28"/>
        </w:rPr>
        <w:t>дополнив строкой</w:t>
      </w:r>
      <w:r w:rsidR="00E87DA0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 xml:space="preserve"> </w:t>
      </w:r>
      <w:r w:rsidR="00B173CF">
        <w:rPr>
          <w:rFonts w:ascii="Times New Roman" w:hAnsi="Times New Roman"/>
          <w:sz w:val="28"/>
          <w:szCs w:val="28"/>
        </w:rPr>
        <w:t>6</w:t>
      </w:r>
      <w:r w:rsidR="00761474" w:rsidRPr="0097798E">
        <w:rPr>
          <w:rFonts w:ascii="Times New Roman" w:hAnsi="Times New Roman"/>
          <w:sz w:val="28"/>
          <w:szCs w:val="28"/>
        </w:rPr>
        <w:t xml:space="preserve"> </w:t>
      </w:r>
      <w:r w:rsidR="007A5308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0E7B90">
        <w:rPr>
          <w:rFonts w:ascii="Times New Roman" w:hAnsi="Times New Roman"/>
          <w:sz w:val="28"/>
          <w:szCs w:val="28"/>
          <w:lang w:val="en-US"/>
        </w:rPr>
        <w:t>II</w:t>
      </w:r>
      <w:r w:rsidR="0097798E">
        <w:rPr>
          <w:rFonts w:ascii="Times New Roman" w:hAnsi="Times New Roman"/>
          <w:sz w:val="28"/>
          <w:szCs w:val="28"/>
        </w:rPr>
        <w:t xml:space="preserve"> «</w:t>
      </w:r>
      <w:r w:rsidR="00280333">
        <w:rPr>
          <w:rFonts w:ascii="Times New Roman" w:hAnsi="Times New Roman"/>
          <w:sz w:val="28"/>
          <w:szCs w:val="28"/>
        </w:rPr>
        <w:t>Общественное питание»</w:t>
      </w:r>
      <w:r w:rsid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следующего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содержания</w:t>
      </w:r>
      <w:r w:rsidR="0097798E" w:rsidRPr="0097798E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366703" w:rsidRPr="00366703" w:rsidTr="00280333">
        <w:trPr>
          <w:cantSplit/>
          <w:trHeight w:val="1134"/>
        </w:trPr>
        <w:tc>
          <w:tcPr>
            <w:tcW w:w="392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280333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333" w:rsidRPr="00366703" w:rsidRDefault="0028033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280333">
        <w:tc>
          <w:tcPr>
            <w:tcW w:w="392" w:type="dxa"/>
          </w:tcPr>
          <w:p w:rsidR="00366703" w:rsidRPr="00366703" w:rsidRDefault="00B173CF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6703" w:rsidRPr="00366703" w:rsidRDefault="00280333" w:rsidP="0028033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1989" w:type="dxa"/>
          </w:tcPr>
          <w:p w:rsidR="00366703" w:rsidRPr="00366703" w:rsidRDefault="00366703" w:rsidP="00B173CF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280333">
              <w:rPr>
                <w:rFonts w:ascii="Times New Roman" w:hAnsi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B173C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173CF">
              <w:rPr>
                <w:rFonts w:ascii="Times New Roman" w:hAnsi="Times New Roman"/>
                <w:sz w:val="28"/>
                <w:szCs w:val="28"/>
              </w:rPr>
              <w:t>/н</w:t>
            </w:r>
            <w:r w:rsidR="0028033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73CF">
              <w:rPr>
                <w:rFonts w:ascii="Times New Roman" w:hAnsi="Times New Roman"/>
                <w:sz w:val="28"/>
                <w:szCs w:val="28"/>
              </w:rPr>
              <w:t>площадка аттракционов</w:t>
            </w:r>
            <w:r w:rsidR="002803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1" w:type="dxa"/>
          </w:tcPr>
          <w:p w:rsidR="00366703" w:rsidRPr="0028033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6703" w:rsidRPr="00280333" w:rsidRDefault="00B173CF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</w:tcPr>
          <w:p w:rsidR="00366703" w:rsidRPr="00280333" w:rsidRDefault="0028033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продукты питания </w:t>
            </w:r>
          </w:p>
        </w:tc>
        <w:tc>
          <w:tcPr>
            <w:tcW w:w="1524" w:type="dxa"/>
          </w:tcPr>
          <w:p w:rsidR="00B173CF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366703" w:rsidRPr="0028033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366703" w:rsidRPr="00280333" w:rsidRDefault="00B173CF" w:rsidP="00B173CF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декабря</w:t>
            </w:r>
          </w:p>
        </w:tc>
      </w:tr>
    </w:tbl>
    <w:p w:rsidR="00B173CF" w:rsidRDefault="00B173C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E87DA0" w:rsidRDefault="00E87DA0" w:rsidP="00AB5FB0">
      <w:pPr>
        <w:jc w:val="both"/>
        <w:rPr>
          <w:sz w:val="28"/>
          <w:szCs w:val="28"/>
        </w:rPr>
      </w:pPr>
    </w:p>
    <w:p w:rsidR="00180E4C" w:rsidRDefault="00180E4C" w:rsidP="00AB5FB0">
      <w:pPr>
        <w:jc w:val="both"/>
        <w:rPr>
          <w:sz w:val="28"/>
          <w:szCs w:val="28"/>
        </w:rPr>
      </w:pPr>
    </w:p>
    <w:p w:rsidR="00280333" w:rsidRDefault="00280333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7919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E7B90"/>
    <w:rsid w:val="000F1779"/>
    <w:rsid w:val="00180E4C"/>
    <w:rsid w:val="00186BCC"/>
    <w:rsid w:val="00262BA7"/>
    <w:rsid w:val="00277B7D"/>
    <w:rsid w:val="00280333"/>
    <w:rsid w:val="002C0FF4"/>
    <w:rsid w:val="00366703"/>
    <w:rsid w:val="003671A5"/>
    <w:rsid w:val="003C4E74"/>
    <w:rsid w:val="00415E47"/>
    <w:rsid w:val="004F41DB"/>
    <w:rsid w:val="005544A5"/>
    <w:rsid w:val="005E4278"/>
    <w:rsid w:val="00613802"/>
    <w:rsid w:val="00617D3E"/>
    <w:rsid w:val="0062066B"/>
    <w:rsid w:val="00761474"/>
    <w:rsid w:val="00761BF8"/>
    <w:rsid w:val="00791951"/>
    <w:rsid w:val="007A5308"/>
    <w:rsid w:val="007E1790"/>
    <w:rsid w:val="008600AC"/>
    <w:rsid w:val="00883362"/>
    <w:rsid w:val="00952C80"/>
    <w:rsid w:val="0097798E"/>
    <w:rsid w:val="00A80E95"/>
    <w:rsid w:val="00AB5FB0"/>
    <w:rsid w:val="00AE18F0"/>
    <w:rsid w:val="00AE5C1D"/>
    <w:rsid w:val="00B173CF"/>
    <w:rsid w:val="00B649DE"/>
    <w:rsid w:val="00BC0FAF"/>
    <w:rsid w:val="00BC70D3"/>
    <w:rsid w:val="00BD55BE"/>
    <w:rsid w:val="00C5791F"/>
    <w:rsid w:val="00CA2524"/>
    <w:rsid w:val="00CC31D6"/>
    <w:rsid w:val="00E87DA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23</cp:revision>
  <cp:lastPrinted>2020-10-21T13:19:00Z</cp:lastPrinted>
  <dcterms:created xsi:type="dcterms:W3CDTF">2019-08-16T11:35:00Z</dcterms:created>
  <dcterms:modified xsi:type="dcterms:W3CDTF">2020-10-21T13:19:00Z</dcterms:modified>
</cp:coreProperties>
</file>