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1D1" w:rsidRPr="000C31D1" w:rsidRDefault="000C31D1" w:rsidP="000C31D1">
      <w:pPr>
        <w:jc w:val="center"/>
        <w:rPr>
          <w:rFonts w:ascii="Times New Roman" w:hAnsi="Times New Roman" w:cs="Times New Roman"/>
          <w:b/>
          <w:lang w:bidi="ru-RU"/>
        </w:rPr>
      </w:pPr>
      <w:r w:rsidRPr="000C31D1">
        <w:rPr>
          <w:rFonts w:ascii="Times New Roman" w:hAnsi="Times New Roman" w:cs="Times New Roman"/>
          <w:b/>
          <w:lang w:bidi="ru-RU"/>
        </w:rPr>
        <w:t>Информационные материалы, методические рекомендации по внедрению муниципальных программ укрепления здоровья населения.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Центр медицины здорового долголетия - это инновационная медицинская структура, созданная как результат масштабных научных, исследовательских, управленческих мероприятий отечественного и мирового здравоохранения.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Создание центров является прямым следствием формирования в России и мире новой концепции - медицины здорового долголетия - не просто перехода от лечения заболеваний к их профилактике и предупреждению, а работе с </w:t>
      </w:r>
      <w:proofErr w:type="spellStart"/>
      <w:r w:rsidRPr="000C31D1">
        <w:rPr>
          <w:rFonts w:ascii="Times New Roman" w:hAnsi="Times New Roman" w:cs="Times New Roman"/>
          <w:sz w:val="24"/>
          <w:szCs w:val="24"/>
          <w:lang w:bidi="ru-RU"/>
        </w:rPr>
        <w:t>предрисками</w:t>
      </w:r>
      <w:proofErr w:type="spellEnd"/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 заболеваний, замедлению процесса старения человека и увеличению продолжительности его жизни. При этом основное внимание сосредоточено на продлении не просто жизни, а именно здоровой жизни - без болезней, без снижения ее качества.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bookmarkStart w:id="0" w:name="bookmark3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>Обследование в центре здоровья</w:t>
      </w:r>
      <w:bookmarkEnd w:id="0"/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Обследование в центре медицины здорового долголетия проходит в два этапа. Первый этап проводится всем, второй - при определенных показаниях, наличие которых определяет врач.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Первое, с чем столкнется пациент в центре - это расширенное анкетирование по нескольким группам опросников: простая манипуляция, которая при этом несет в себе огромную информативность для врача и самого пациента. Анкетирование проводится очно непосредственно в самом центре.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После анкетирования следует ряд исследований параметров человеческого организма, среди которых можно выделить как хорошо известные и доступные: измерение роста и веса, так и узкоспециализированные: </w:t>
      </w:r>
      <w:proofErr w:type="spellStart"/>
      <w:r w:rsidRPr="000C31D1">
        <w:rPr>
          <w:rFonts w:ascii="Times New Roman" w:hAnsi="Times New Roman" w:cs="Times New Roman"/>
          <w:sz w:val="24"/>
          <w:szCs w:val="24"/>
          <w:lang w:bidi="ru-RU"/>
        </w:rPr>
        <w:t>биоимпедансометрия</w:t>
      </w:r>
      <w:proofErr w:type="spellEnd"/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 - позволяет очень точно определить в организме содержание жировой, мышечной и костной тканей, и </w:t>
      </w:r>
      <w:proofErr w:type="spellStart"/>
      <w:r w:rsidRPr="000C31D1">
        <w:rPr>
          <w:rFonts w:ascii="Times New Roman" w:hAnsi="Times New Roman" w:cs="Times New Roman"/>
          <w:sz w:val="24"/>
          <w:szCs w:val="24"/>
          <w:lang w:bidi="ru-RU"/>
        </w:rPr>
        <w:t>ангиосканирование</w:t>
      </w:r>
      <w:proofErr w:type="spellEnd"/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 - исследование стенки сосуда, его эластичности и функциональности.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После чего проводится когнитивная диагностика - определение способности головного мозга выполнять интеллектуальную работу, которая влияет на состояние памяти, скорости мыслительного процесса и быстроте реакции. На этом же этапе проводятся функциональные тесты, позволяющие оценить работу опорно-двигательного аппарата человека, интенсивность и эффективность движений.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Заключительной часть первого этапа исследования является расчет биологического возраста, того интегрального параметра, по которому можно судить об общем состоянии организма человека.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i/>
          <w:iCs/>
          <w:sz w:val="24"/>
          <w:szCs w:val="24"/>
          <w:lang w:bidi="ru-RU"/>
        </w:rPr>
        <w:t>Что такое паспортный и биологический возраст?</w:t>
      </w:r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 Паспортный возраст человека - это время, которое прошло с его рождения до текущего момента. Важный показатель, по которому можно косвенно судить о состоянии организма, ориентируясь на типичные изменения, свойственные тому или иному возрасту. Однако</w:t>
      </w:r>
      <w:proofErr w:type="gramStart"/>
      <w:r w:rsidRPr="000C31D1">
        <w:rPr>
          <w:rFonts w:ascii="Times New Roman" w:hAnsi="Times New Roman" w:cs="Times New Roman"/>
          <w:sz w:val="24"/>
          <w:szCs w:val="24"/>
          <w:lang w:bidi="ru-RU"/>
        </w:rPr>
        <w:t>,</w:t>
      </w:r>
      <w:proofErr w:type="gramEnd"/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 не менее важным является и биологический возраст - комплексный показатель, который отражает действительную степень функционального и структурного износа организма.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Особенно важно здесь два пункта. Во-первых, расчет биологического возраста еще никогда не был так точен. Во-вторых, если паспортный возраст изменить нельзя; биологический - можно.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После расчета биологического возраста пациенту проводится профилактическое консультирование - подробное изложение всех результатов обследования, объяснение вышедших из рамок нормы показателей, сравнение биологического и паспортного возраста, выдача индивидуальных рекомендаций по поддержанию здорового образа жизни или исправлению определенных параметров, если такие имеются.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Главная задача данного этапа - дать человеку точные и понятные инструкции, которые помогут ему в достижении поставленных целей: привести в норму свой вес, начать здоровый образ жизни, бросить курить и так далее. Если в процессе обследования были выявлены заболевания - пациент направляется к профильному врачу для получения специализированного лечения, если были выявлены только факторы риска, без развития самих заболеваний - пациент направляется к врачу по медицинской профилактике для </w:t>
      </w:r>
      <w:r w:rsidRPr="000C31D1">
        <w:rPr>
          <w:rFonts w:ascii="Times New Roman" w:hAnsi="Times New Roman" w:cs="Times New Roman"/>
          <w:sz w:val="24"/>
          <w:szCs w:val="24"/>
          <w:lang w:bidi="ru-RU"/>
        </w:rPr>
        <w:lastRenderedPageBreak/>
        <w:t>точечного воздействия на свой образ жизни и недопущению развития заболеваний в будущем.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Еще одним важным звеном первого этапа </w:t>
      </w:r>
      <w:proofErr w:type="gramStart"/>
      <w:r w:rsidRPr="000C31D1">
        <w:rPr>
          <w:rFonts w:ascii="Times New Roman" w:hAnsi="Times New Roman" w:cs="Times New Roman"/>
          <w:sz w:val="24"/>
          <w:szCs w:val="24"/>
          <w:lang w:bidi="ru-RU"/>
        </w:rPr>
        <w:t>является определение показателей для перевода пациента на второй этап используя</w:t>
      </w:r>
      <w:proofErr w:type="gramEnd"/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 специальную схему. Если врачом по медицине здорового долголетия были выявлены показания - пациент направляется на второй этап обследования в центре.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bookmarkStart w:id="1" w:name="bookmark5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>Второй этап</w:t>
      </w:r>
      <w:bookmarkEnd w:id="1"/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Второй этап назначается в случае, если в комбинации других признаков биологический возраст был ниже паспортного - это прямое указание на ускоренные процессы старения в организме. Благодаря современной науке можно найти причину указанного быстрого старения, и для этого в центре медицины здорового долголетия есть семь пакетов исследований второго этапа, каждый из которых исследует свой определенный механизм старения.</w:t>
      </w:r>
    </w:p>
    <w:p w:rsidR="000C31D1" w:rsidRPr="000C31D1" w:rsidRDefault="000C31D1" w:rsidP="000C31D1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Преждевременная активация </w:t>
      </w:r>
      <w:proofErr w:type="spellStart"/>
      <w:r w:rsidRPr="000C31D1">
        <w:rPr>
          <w:rFonts w:ascii="Times New Roman" w:hAnsi="Times New Roman" w:cs="Times New Roman"/>
          <w:sz w:val="24"/>
          <w:szCs w:val="24"/>
          <w:lang w:bidi="ru-RU"/>
        </w:rPr>
        <w:t>иммуновоспалительного</w:t>
      </w:r>
      <w:proofErr w:type="spellEnd"/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 механизма старения</w:t>
      </w:r>
    </w:p>
    <w:p w:rsidR="000C31D1" w:rsidRPr="000C31D1" w:rsidRDefault="000C31D1" w:rsidP="000C31D1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Раннее выявление </w:t>
      </w:r>
      <w:proofErr w:type="spellStart"/>
      <w:r w:rsidRPr="000C31D1">
        <w:rPr>
          <w:rFonts w:ascii="Times New Roman" w:hAnsi="Times New Roman" w:cs="Times New Roman"/>
          <w:sz w:val="24"/>
          <w:szCs w:val="24"/>
          <w:lang w:bidi="ru-RU"/>
        </w:rPr>
        <w:t>предрисков</w:t>
      </w:r>
      <w:proofErr w:type="spellEnd"/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 развития нарушения обмена веществ, ожирения и связанных с этим заболеваний</w:t>
      </w:r>
    </w:p>
    <w:p w:rsidR="000C31D1" w:rsidRPr="000C31D1" w:rsidRDefault="000C31D1" w:rsidP="000C31D1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Раннее выявление </w:t>
      </w:r>
      <w:proofErr w:type="spellStart"/>
      <w:r w:rsidRPr="000C31D1">
        <w:rPr>
          <w:rFonts w:ascii="Times New Roman" w:hAnsi="Times New Roman" w:cs="Times New Roman"/>
          <w:sz w:val="24"/>
          <w:szCs w:val="24"/>
          <w:lang w:bidi="ru-RU"/>
        </w:rPr>
        <w:t>предрисков</w:t>
      </w:r>
      <w:proofErr w:type="spellEnd"/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 развития нарушений опорно-двигательной системы (остеопороза и (или) </w:t>
      </w:r>
      <w:proofErr w:type="spellStart"/>
      <w:r w:rsidRPr="000C31D1">
        <w:rPr>
          <w:rFonts w:ascii="Times New Roman" w:hAnsi="Times New Roman" w:cs="Times New Roman"/>
          <w:sz w:val="24"/>
          <w:szCs w:val="24"/>
          <w:lang w:bidi="ru-RU"/>
        </w:rPr>
        <w:t>саркопении</w:t>
      </w:r>
      <w:proofErr w:type="spellEnd"/>
      <w:r w:rsidRPr="000C31D1">
        <w:rPr>
          <w:rFonts w:ascii="Times New Roman" w:hAnsi="Times New Roman" w:cs="Times New Roman"/>
          <w:sz w:val="24"/>
          <w:szCs w:val="24"/>
          <w:lang w:bidi="ru-RU"/>
        </w:rPr>
        <w:t>)</w:t>
      </w:r>
    </w:p>
    <w:p w:rsidR="000C31D1" w:rsidRPr="000C31D1" w:rsidRDefault="000C31D1" w:rsidP="000C31D1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Преждевременная активация механизма </w:t>
      </w:r>
      <w:proofErr w:type="spellStart"/>
      <w:r w:rsidRPr="000C31D1">
        <w:rPr>
          <w:rFonts w:ascii="Times New Roman" w:hAnsi="Times New Roman" w:cs="Times New Roman"/>
          <w:sz w:val="24"/>
          <w:szCs w:val="24"/>
          <w:lang w:bidi="ru-RU"/>
        </w:rPr>
        <w:t>оксидативного</w:t>
      </w:r>
      <w:proofErr w:type="spellEnd"/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 стресса и (или) </w:t>
      </w:r>
      <w:proofErr w:type="spellStart"/>
      <w:r w:rsidRPr="000C31D1">
        <w:rPr>
          <w:rFonts w:ascii="Times New Roman" w:hAnsi="Times New Roman" w:cs="Times New Roman"/>
          <w:sz w:val="24"/>
          <w:szCs w:val="24"/>
          <w:lang w:bidi="ru-RU"/>
        </w:rPr>
        <w:t>митохондриальной</w:t>
      </w:r>
      <w:proofErr w:type="spellEnd"/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proofErr w:type="spellStart"/>
      <w:r w:rsidRPr="000C31D1">
        <w:rPr>
          <w:rFonts w:ascii="Times New Roman" w:hAnsi="Times New Roman" w:cs="Times New Roman"/>
          <w:sz w:val="24"/>
          <w:szCs w:val="24"/>
          <w:lang w:bidi="ru-RU"/>
        </w:rPr>
        <w:t>дисфункциии</w:t>
      </w:r>
      <w:proofErr w:type="spellEnd"/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 сосудистого механизма старения</w:t>
      </w:r>
    </w:p>
    <w:p w:rsidR="000C31D1" w:rsidRPr="000C31D1" w:rsidRDefault="000C31D1" w:rsidP="000C31D1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proofErr w:type="spellStart"/>
      <w:r w:rsidRPr="000C31D1">
        <w:rPr>
          <w:rFonts w:ascii="Times New Roman" w:hAnsi="Times New Roman" w:cs="Times New Roman"/>
          <w:sz w:val="24"/>
          <w:szCs w:val="24"/>
          <w:lang w:bidi="ru-RU"/>
        </w:rPr>
        <w:t>Инсулинорезистентность</w:t>
      </w:r>
      <w:proofErr w:type="spellEnd"/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proofErr w:type="spellStart"/>
      <w:r w:rsidRPr="000C31D1">
        <w:rPr>
          <w:rFonts w:ascii="Times New Roman" w:hAnsi="Times New Roman" w:cs="Times New Roman"/>
          <w:sz w:val="24"/>
          <w:szCs w:val="24"/>
          <w:lang w:bidi="ru-RU"/>
        </w:rPr>
        <w:t>гликирование</w:t>
      </w:r>
      <w:proofErr w:type="spellEnd"/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 и преждевременная активация метаболического механизма старения</w:t>
      </w:r>
    </w:p>
    <w:p w:rsidR="000C31D1" w:rsidRPr="000C31D1" w:rsidRDefault="000C31D1" w:rsidP="000C31D1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Раннее выявление признаков снижения когнитивных функций и нарушений психоэмоционального состояния</w:t>
      </w:r>
    </w:p>
    <w:p w:rsidR="000C31D1" w:rsidRPr="000C31D1" w:rsidRDefault="000C31D1" w:rsidP="000C31D1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Преждевременная активация механизма старения, связанного с дисбактериозом кишечника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Пакеты не могут быть назначены, если у пациента уже выявлено активное заболевание - это означает, что механизмы старения работают давно и в данном случае необходимо воздействовать на саму болезнь.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В этом выражается существенное отличие центра здорового долголетия от привычных медицинских учреждений - его основная целевая аудитория это в первую очередь здоровые люди, у которых отсутствуют не только заболевания, но и риски развития заболеваний. При этом работа с гражданами с факторами риска не прекращается.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bookmarkStart w:id="2" w:name="bookmark7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>Как пройти обследование?</w:t>
      </w:r>
      <w:bookmarkEnd w:id="2"/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Попасть на прием в центр медицины здорового долголетия может каждый гражданин Российской Федерации при достижении возраста 18 лет. Обследование проводится бесплатно - по полису медицинского страхования, при этом обратиться можно самостоятельно: отсутствует необходимость получать направление от врача. Доступна предварительная запись на прием - по телефону </w:t>
      </w:r>
      <w:proofErr w:type="spellStart"/>
      <w:proofErr w:type="gramStart"/>
      <w:r w:rsidRPr="000C31D1">
        <w:rPr>
          <w:rFonts w:ascii="Times New Roman" w:hAnsi="Times New Roman" w:cs="Times New Roman"/>
          <w:sz w:val="24"/>
          <w:szCs w:val="24"/>
          <w:lang w:bidi="ru-RU"/>
        </w:rPr>
        <w:t>колл</w:t>
      </w:r>
      <w:proofErr w:type="spellEnd"/>
      <w:r w:rsidRPr="000C31D1">
        <w:rPr>
          <w:rFonts w:ascii="Times New Roman" w:hAnsi="Times New Roman" w:cs="Times New Roman"/>
          <w:sz w:val="24"/>
          <w:szCs w:val="24"/>
          <w:lang w:bidi="ru-RU"/>
        </w:rPr>
        <w:t>-центра</w:t>
      </w:r>
      <w:proofErr w:type="gramEnd"/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 и при личном посещении, однако получить медицинскую помощь можно и без предварительной записи - достаточно просто прийти в медицинскую организацию.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В 2026 году в Ставропольском крае работают 11 центров медицины здорового долголетия, располагаемых на базах следующих медицинских организаций: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bookmarkStart w:id="3" w:name="bookmark9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>ГБУЗ СК «Александровская районная больница»</w:t>
      </w:r>
      <w:bookmarkEnd w:id="3"/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с. Александровское </w:t>
      </w:r>
      <w:proofErr w:type="spellStart"/>
      <w:r w:rsidRPr="000C31D1">
        <w:rPr>
          <w:rFonts w:ascii="Times New Roman" w:hAnsi="Times New Roman" w:cs="Times New Roman"/>
          <w:sz w:val="24"/>
          <w:szCs w:val="24"/>
          <w:lang w:bidi="ru-RU"/>
        </w:rPr>
        <w:t>ул</w:t>
      </w:r>
      <w:proofErr w:type="gramStart"/>
      <w:r w:rsidRPr="000C31D1">
        <w:rPr>
          <w:rFonts w:ascii="Times New Roman" w:hAnsi="Times New Roman" w:cs="Times New Roman"/>
          <w:sz w:val="24"/>
          <w:szCs w:val="24"/>
          <w:lang w:bidi="ru-RU"/>
        </w:rPr>
        <w:t>.К</w:t>
      </w:r>
      <w:proofErr w:type="gramEnd"/>
      <w:r w:rsidRPr="000C31D1">
        <w:rPr>
          <w:rFonts w:ascii="Times New Roman" w:hAnsi="Times New Roman" w:cs="Times New Roman"/>
          <w:sz w:val="24"/>
          <w:szCs w:val="24"/>
          <w:lang w:bidi="ru-RU"/>
        </w:rPr>
        <w:t>расноармейская</w:t>
      </w:r>
      <w:proofErr w:type="spellEnd"/>
      <w:r w:rsidRPr="000C31D1">
        <w:rPr>
          <w:rFonts w:ascii="Times New Roman" w:hAnsi="Times New Roman" w:cs="Times New Roman"/>
          <w:sz w:val="24"/>
          <w:szCs w:val="24"/>
          <w:lang w:bidi="ru-RU"/>
        </w:rPr>
        <w:t>, 296; регистратура: 8(86557)2-11-47, 8(86557)2-26-11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bookmarkStart w:id="4" w:name="bookmark11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>ГБУЗ СК «Георгиевская районная больница»</w:t>
      </w:r>
      <w:bookmarkEnd w:id="4"/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г. Георгиевск ул. Филатова, 3; регистратура: 8(928)030-24-60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bookmarkStart w:id="5" w:name="bookmark13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>ГБУЗ СК «Городская больница» г. Невинномысска</w:t>
      </w:r>
      <w:bookmarkEnd w:id="5"/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г. Невинномысск ул. Павлова, 5; регистратура: 8(86554) 7-12-13, 8-86554-95-6-61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bookmarkStart w:id="6" w:name="bookmark15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>ГБУЗ СК «Городская клиническая поликлиника № 6» г. Ставрополя</w:t>
      </w:r>
      <w:bookmarkEnd w:id="6"/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г. Ставрополь, ул. Тухачевского, 17; регистратура: 8(8652)55-49-09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bookmarkStart w:id="7" w:name="bookmark17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>ГБУЗ СК «</w:t>
      </w:r>
      <w:proofErr w:type="spellStart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>Ессентукская</w:t>
      </w:r>
      <w:proofErr w:type="spellEnd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 городская поликлиника»</w:t>
      </w:r>
      <w:bookmarkEnd w:id="7"/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г. Ессентуки, ул. Кисловодская, 26-А; регистратура: 8(87934)4-89-48, 8(87934)3-67-57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bookmarkStart w:id="8" w:name="bookmark19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lastRenderedPageBreak/>
        <w:t>ГБУЗ СК «</w:t>
      </w:r>
      <w:proofErr w:type="spellStart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>Изобильненская</w:t>
      </w:r>
      <w:proofErr w:type="spellEnd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 районная больница»</w:t>
      </w:r>
      <w:bookmarkEnd w:id="8"/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г. </w:t>
      </w:r>
      <w:proofErr w:type="gramStart"/>
      <w:r w:rsidRPr="000C31D1">
        <w:rPr>
          <w:rFonts w:ascii="Times New Roman" w:hAnsi="Times New Roman" w:cs="Times New Roman"/>
          <w:sz w:val="24"/>
          <w:szCs w:val="24"/>
          <w:lang w:bidi="ru-RU"/>
        </w:rPr>
        <w:t>Изобильный</w:t>
      </w:r>
      <w:proofErr w:type="gramEnd"/>
      <w:r w:rsidRPr="000C31D1">
        <w:rPr>
          <w:rFonts w:ascii="Times New Roman" w:hAnsi="Times New Roman" w:cs="Times New Roman"/>
          <w:sz w:val="24"/>
          <w:szCs w:val="24"/>
          <w:lang w:bidi="ru-RU"/>
        </w:rPr>
        <w:t>, ул. Колхозная, 2; регистратура: 8(86545) 2-41-52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bookmarkStart w:id="9" w:name="bookmark21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>ГБУЗ СК «Кисловодская городская больница»</w:t>
      </w:r>
      <w:bookmarkEnd w:id="9"/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г. Кисловодск, ул. Кутузова, 127; регистратура: 6-86-78, 6-82-67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bookmarkStart w:id="10" w:name="bookmark23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>ГБУЗ СК «Минераловодская районная больница»</w:t>
      </w:r>
      <w:bookmarkEnd w:id="10"/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г. Минеральные Воды, ул. Гагарина, 67А; регистратура: 8 (87922) 5-96-06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bookmarkStart w:id="11" w:name="bookmark25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>ГБУЗ СК «Пятигорская городская поликлиника № 1»</w:t>
      </w:r>
      <w:bookmarkEnd w:id="11"/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г. Пятигорск ул.1-я Бульварная, 37; регистратура: 8(8793)32-22-55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bookmarkStart w:id="12" w:name="bookmark27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>ГБУЗ СК «</w:t>
      </w:r>
      <w:proofErr w:type="spellStart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>Степновская</w:t>
      </w:r>
      <w:proofErr w:type="spellEnd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 районная больница»</w:t>
      </w:r>
      <w:bookmarkEnd w:id="12"/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proofErr w:type="gramStart"/>
      <w:r w:rsidRPr="000C31D1">
        <w:rPr>
          <w:rFonts w:ascii="Times New Roman" w:hAnsi="Times New Roman" w:cs="Times New Roman"/>
          <w:sz w:val="24"/>
          <w:szCs w:val="24"/>
          <w:lang w:bidi="ru-RU"/>
        </w:rPr>
        <w:t>с</w:t>
      </w:r>
      <w:proofErr w:type="gramEnd"/>
      <w:r w:rsidRPr="000C31D1">
        <w:rPr>
          <w:rFonts w:ascii="Times New Roman" w:hAnsi="Times New Roman" w:cs="Times New Roman"/>
          <w:sz w:val="24"/>
          <w:szCs w:val="24"/>
          <w:lang w:bidi="ru-RU"/>
        </w:rPr>
        <w:t>. Степное, ул. Додонова, 22а; регистратура: 8(86563) 3-11-47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bookmarkStart w:id="13" w:name="bookmark29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>ГБУЗ СК «</w:t>
      </w:r>
      <w:proofErr w:type="spellStart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>Шпаковская</w:t>
      </w:r>
      <w:proofErr w:type="spellEnd"/>
      <w:r w:rsidRPr="000C31D1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 районная больница»</w:t>
      </w:r>
      <w:bookmarkEnd w:id="13"/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 xml:space="preserve">г. Михайловск, ул. Леонида </w:t>
      </w:r>
      <w:proofErr w:type="spellStart"/>
      <w:r w:rsidRPr="000C31D1">
        <w:rPr>
          <w:rFonts w:ascii="Times New Roman" w:hAnsi="Times New Roman" w:cs="Times New Roman"/>
          <w:sz w:val="24"/>
          <w:szCs w:val="24"/>
          <w:lang w:bidi="ru-RU"/>
        </w:rPr>
        <w:t>Севрюкова</w:t>
      </w:r>
      <w:proofErr w:type="spellEnd"/>
      <w:r w:rsidRPr="000C31D1">
        <w:rPr>
          <w:rFonts w:ascii="Times New Roman" w:hAnsi="Times New Roman" w:cs="Times New Roman"/>
          <w:sz w:val="24"/>
          <w:szCs w:val="24"/>
          <w:lang w:bidi="ru-RU"/>
        </w:rPr>
        <w:t>, 4; регистратура: 8 (865) 532-13-51</w:t>
      </w:r>
    </w:p>
    <w:p w:rsidR="000C31D1" w:rsidRPr="000C31D1" w:rsidRDefault="000C31D1" w:rsidP="000C31D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0C31D1">
        <w:rPr>
          <w:rFonts w:ascii="Times New Roman" w:hAnsi="Times New Roman" w:cs="Times New Roman"/>
          <w:sz w:val="24"/>
          <w:szCs w:val="24"/>
          <w:lang w:bidi="ru-RU"/>
        </w:rPr>
        <w:t>Если в муниципалитете еще нет своего центра медицины здорового долголетия, то жителям округа следует обращаться в указанный в таблице центр:</w:t>
      </w:r>
    </w:p>
    <w:tbl>
      <w:tblPr>
        <w:tblOverlap w:val="never"/>
        <w:tblW w:w="0" w:type="auto"/>
        <w:jc w:val="center"/>
        <w:tblInd w:w="-7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43"/>
        <w:gridCol w:w="5971"/>
      </w:tblGrid>
      <w:tr w:rsidR="000C31D1" w:rsidRPr="000C31D1" w:rsidTr="00EF79F9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</w:tcBorders>
            <w:shd w:val="clear" w:color="auto" w:fill="E8E8E8"/>
            <w:vAlign w:val="bottom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0C31D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Муниципальный округ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8E8E8"/>
            <w:vAlign w:val="bottom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0C31D1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Закрепленный центр медицины здорового долголетия</w:t>
            </w:r>
          </w:p>
        </w:tc>
      </w:tr>
      <w:tr w:rsidR="000C31D1" w:rsidRPr="000C31D1" w:rsidTr="000C31D1">
        <w:tblPrEx>
          <w:tblCellMar>
            <w:top w:w="0" w:type="dxa"/>
            <w:bottom w:w="0" w:type="dxa"/>
          </w:tblCellMar>
        </w:tblPrEx>
        <w:trPr>
          <w:trHeight w:hRule="exact" w:val="947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</w:tcBorders>
            <w:shd w:val="clear" w:color="auto" w:fill="E8E8E8"/>
            <w:vAlign w:val="bottom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Петровский Туркменский Предгорный город-курорт Ессентуки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Ессентукская</w:t>
            </w:r>
            <w:proofErr w:type="spellEnd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городская поликлиника</w:t>
            </w:r>
          </w:p>
        </w:tc>
      </w:tr>
      <w:tr w:rsidR="000C31D1" w:rsidRPr="000C31D1" w:rsidTr="00EF79F9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Кировский</w:t>
            </w:r>
          </w:p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Советский город-курорт Кисловодск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Кисловодская городская больница</w:t>
            </w:r>
          </w:p>
        </w:tc>
      </w:tr>
      <w:tr w:rsidR="000C31D1" w:rsidRPr="000C31D1" w:rsidTr="000C31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город Ставрополь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Городская клиническая поликлиника № 6 г. Ставрополя</w:t>
            </w:r>
          </w:p>
        </w:tc>
      </w:tr>
      <w:tr w:rsidR="000C31D1" w:rsidRPr="000C31D1" w:rsidTr="000C31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Андроповский </w:t>
            </w:r>
            <w:proofErr w:type="spellStart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Апанасенковский</w:t>
            </w:r>
            <w:proofErr w:type="spellEnd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Кочубеевский</w:t>
            </w:r>
            <w:proofErr w:type="spellEnd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город Невинномысск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Городская больница г. Невинномысска</w:t>
            </w:r>
          </w:p>
        </w:tc>
      </w:tr>
      <w:tr w:rsidR="000C31D1" w:rsidRPr="000C31D1" w:rsidTr="000C31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Буденовский</w:t>
            </w:r>
          </w:p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Левокумский</w:t>
            </w:r>
            <w:proofErr w:type="spellEnd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город Лермонтов город-курорт Пятигорск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Пятигорская городская поликлиника № 1</w:t>
            </w:r>
          </w:p>
        </w:tc>
      </w:tr>
      <w:tr w:rsidR="000C31D1" w:rsidRPr="000C31D1" w:rsidTr="000C31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Шпаковский</w:t>
            </w:r>
            <w:proofErr w:type="spellEnd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Грачевский</w:t>
            </w:r>
            <w:proofErr w:type="spellEnd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Ипатовский</w:t>
            </w:r>
            <w:proofErr w:type="spellEnd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Труновский</w:t>
            </w:r>
            <w:proofErr w:type="spellEnd"/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Шпаковская</w:t>
            </w:r>
            <w:proofErr w:type="spellEnd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районная больница</w:t>
            </w:r>
          </w:p>
        </w:tc>
      </w:tr>
      <w:tr w:rsidR="000C31D1" w:rsidRPr="000C31D1" w:rsidTr="000C31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Александровский Благодарненский </w:t>
            </w:r>
            <w:proofErr w:type="spellStart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Арзгирский</w:t>
            </w:r>
            <w:proofErr w:type="spellEnd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Новоселицкий</w:t>
            </w:r>
            <w:proofErr w:type="spellEnd"/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Александровская районная больница</w:t>
            </w:r>
          </w:p>
        </w:tc>
      </w:tr>
      <w:tr w:rsidR="000C31D1" w:rsidRPr="000C31D1" w:rsidTr="000C31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Минераловодский город-курорт Железноводск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Минераловодская районная больница</w:t>
            </w:r>
          </w:p>
        </w:tc>
      </w:tr>
      <w:tr w:rsidR="000C31D1" w:rsidRPr="000C31D1" w:rsidTr="000C31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Георгиевский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Георгиевская районная больница</w:t>
            </w:r>
          </w:p>
        </w:tc>
      </w:tr>
      <w:tr w:rsidR="000C31D1" w:rsidRPr="000C31D1" w:rsidTr="000C31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Изобильненский</w:t>
            </w:r>
            <w:proofErr w:type="spellEnd"/>
          </w:p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Новоалександровский Красногвардейский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Изобильненская</w:t>
            </w:r>
            <w:proofErr w:type="spellEnd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районная больница</w:t>
            </w:r>
          </w:p>
        </w:tc>
      </w:tr>
      <w:tr w:rsidR="000C31D1" w:rsidRPr="000C31D1" w:rsidTr="000C31D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Степновский</w:t>
            </w:r>
            <w:proofErr w:type="spellEnd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Курский </w:t>
            </w:r>
            <w:proofErr w:type="spellStart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Нефтекумский</w:t>
            </w:r>
            <w:proofErr w:type="spellEnd"/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1D1" w:rsidRPr="000C31D1" w:rsidRDefault="000C31D1" w:rsidP="000C31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Степновская</w:t>
            </w:r>
            <w:proofErr w:type="spellEnd"/>
            <w:r w:rsidRPr="000C3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районная больница</w:t>
            </w:r>
          </w:p>
        </w:tc>
      </w:tr>
    </w:tbl>
    <w:p w:rsidR="000C31D1" w:rsidRPr="000C31D1" w:rsidRDefault="000C31D1" w:rsidP="000C31D1">
      <w:pPr>
        <w:jc w:val="both"/>
        <w:rPr>
          <w:lang w:bidi="ru-RU"/>
        </w:rPr>
        <w:sectPr w:rsidR="000C31D1" w:rsidRPr="000C31D1">
          <w:pgSz w:w="11900" w:h="16840"/>
          <w:pgMar w:top="993" w:right="758" w:bottom="782" w:left="1724" w:header="565" w:footer="354" w:gutter="0"/>
          <w:pgNumType w:start="1"/>
          <w:cols w:space="720"/>
          <w:noEndnote/>
          <w:docGrid w:linePitch="360"/>
        </w:sectPr>
      </w:pPr>
      <w:r w:rsidRPr="000C31D1">
        <w:rPr>
          <w:lang w:bidi="ru-RU"/>
        </w:rPr>
        <w:t>https://cloud.mail.ru/public/CKJ2/5PDSiGMQ8</w:t>
      </w:r>
      <w:bookmarkStart w:id="14" w:name="_GoBack"/>
      <w:bookmarkEnd w:id="14"/>
    </w:p>
    <w:p w:rsidR="00050AB8" w:rsidRDefault="00050AB8" w:rsidP="000C31D1">
      <w:pPr>
        <w:jc w:val="both"/>
      </w:pPr>
    </w:p>
    <w:sectPr w:rsidR="00050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B60648"/>
    <w:multiLevelType w:val="multilevel"/>
    <w:tmpl w:val="51FEF7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1D1"/>
    <w:rsid w:val="00050AB8"/>
    <w:rsid w:val="000C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1313</Words>
  <Characters>7487</Characters>
  <Application>Microsoft Office Word</Application>
  <DocSecurity>0</DocSecurity>
  <Lines>62</Lines>
  <Paragraphs>17</Paragraphs>
  <ScaleCrop>false</ScaleCrop>
  <Company/>
  <LinksUpToDate>false</LinksUpToDate>
  <CharactersWithSpaces>8783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Долженко</dc:creator>
  <cp:lastModifiedBy>Долженко</cp:lastModifiedBy>
  <cp:revision>1</cp:revision>
  <dcterms:created xsi:type="dcterms:W3CDTF">2026-10-27T11:02:00Z</dcterms:created>
  <dcterms:modified xsi:type="dcterms:W3CDTF">2026-10-27T11:08:00Z</dcterms:modified>
</cp:coreProperties>
</file>